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1054C2DA" w:rsidR="009C626D" w:rsidRPr="00BA356F" w:rsidRDefault="00BA356F" w:rsidP="00BA356F">
      <w:pPr>
        <w:pStyle w:val="NoSpacing"/>
        <w:rPr>
          <w:rFonts w:asciiTheme="majorHAnsi" w:hAnsiTheme="majorHAnsi"/>
          <w:b/>
          <w:bCs/>
        </w:rPr>
      </w:pPr>
      <w:r w:rsidRPr="00BA356F">
        <w:rPr>
          <w:rFonts w:asciiTheme="majorHAnsi" w:hAnsiTheme="majorHAnsi"/>
          <w:b/>
          <w:bCs/>
        </w:rPr>
        <w:t>HOW TO SUPPORT GENDER REASSIGNMENT IN THE WORKPLACE</w:t>
      </w:r>
    </w:p>
    <w:p w14:paraId="500F8471" w14:textId="77777777" w:rsidR="00F56289" w:rsidRPr="00BA356F" w:rsidRDefault="00F56289" w:rsidP="00BA356F">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BA356F" w14:paraId="788703A2" w14:textId="77777777" w:rsidTr="00BA356F">
        <w:tc>
          <w:tcPr>
            <w:tcW w:w="1054" w:type="dxa"/>
            <w:shd w:val="clear" w:color="auto" w:fill="D9D9D9" w:themeFill="background1" w:themeFillShade="D9"/>
          </w:tcPr>
          <w:p w14:paraId="303FEB37" w14:textId="7FA84F13" w:rsidR="00D83CFB" w:rsidRPr="00BA356F" w:rsidRDefault="00A43FD5" w:rsidP="00BA356F">
            <w:pPr>
              <w:pStyle w:val="NoSpacing"/>
              <w:rPr>
                <w:rFonts w:asciiTheme="majorHAnsi" w:hAnsiTheme="majorHAnsi"/>
                <w:b/>
                <w:bCs/>
                <w:highlight w:val="lightGray"/>
              </w:rPr>
            </w:pPr>
            <w:r w:rsidRPr="00BA356F">
              <w:rPr>
                <w:rFonts w:asciiTheme="majorHAnsi" w:hAnsiTheme="majorHAnsi"/>
                <w:b/>
                <w:bCs/>
                <w:highlight w:val="lightGray"/>
              </w:rPr>
              <w:t>Section</w:t>
            </w:r>
          </w:p>
        </w:tc>
        <w:tc>
          <w:tcPr>
            <w:tcW w:w="8348" w:type="dxa"/>
            <w:shd w:val="clear" w:color="auto" w:fill="D9D9D9" w:themeFill="background1" w:themeFillShade="D9"/>
          </w:tcPr>
          <w:p w14:paraId="1F2F66CA" w14:textId="77777777" w:rsidR="00D83CFB" w:rsidRPr="00BA356F" w:rsidRDefault="00D83CFB" w:rsidP="00BA356F">
            <w:pPr>
              <w:pStyle w:val="NoSpacing"/>
              <w:rPr>
                <w:rFonts w:asciiTheme="majorHAnsi" w:hAnsiTheme="majorHAnsi"/>
                <w:highlight w:val="lightGray"/>
              </w:rPr>
            </w:pPr>
          </w:p>
        </w:tc>
      </w:tr>
      <w:tr w:rsidR="00D83CFB" w:rsidRPr="00BA356F" w14:paraId="17B1A520" w14:textId="77777777" w:rsidTr="00BA356F">
        <w:tc>
          <w:tcPr>
            <w:tcW w:w="1054" w:type="dxa"/>
          </w:tcPr>
          <w:p w14:paraId="6EA35D27" w14:textId="0F32958C" w:rsidR="00D83CFB" w:rsidRPr="00BA356F" w:rsidRDefault="00D83CFB" w:rsidP="00BA356F">
            <w:pPr>
              <w:pStyle w:val="NoSpacing"/>
              <w:rPr>
                <w:rFonts w:asciiTheme="majorHAnsi" w:hAnsiTheme="majorHAnsi"/>
              </w:rPr>
            </w:pPr>
            <w:r w:rsidRPr="00BA356F">
              <w:rPr>
                <w:rFonts w:asciiTheme="majorHAnsi" w:hAnsiTheme="majorHAnsi"/>
              </w:rPr>
              <w:t>1</w:t>
            </w:r>
          </w:p>
        </w:tc>
        <w:tc>
          <w:tcPr>
            <w:tcW w:w="8348" w:type="dxa"/>
          </w:tcPr>
          <w:p w14:paraId="0C399263" w14:textId="18A96E0F" w:rsidR="00D83CFB" w:rsidRPr="00BA356F" w:rsidRDefault="00BA356F" w:rsidP="00BA356F">
            <w:pPr>
              <w:pStyle w:val="NoSpacing"/>
              <w:rPr>
                <w:rFonts w:asciiTheme="majorHAnsi" w:hAnsiTheme="majorHAnsi"/>
              </w:rPr>
            </w:pPr>
            <w:r w:rsidRPr="00BA356F">
              <w:rPr>
                <w:rFonts w:asciiTheme="majorHAnsi" w:hAnsiTheme="majorHAnsi"/>
              </w:rPr>
              <w:t>Understanding key terms</w:t>
            </w:r>
          </w:p>
        </w:tc>
      </w:tr>
      <w:tr w:rsidR="00D83CFB" w:rsidRPr="00BA356F" w14:paraId="645254A8" w14:textId="77777777" w:rsidTr="00BA356F">
        <w:tc>
          <w:tcPr>
            <w:tcW w:w="1054" w:type="dxa"/>
          </w:tcPr>
          <w:p w14:paraId="15188934" w14:textId="229FDCD3" w:rsidR="00D83CFB" w:rsidRPr="00BA356F" w:rsidRDefault="00D83CFB" w:rsidP="00BA356F">
            <w:pPr>
              <w:pStyle w:val="NoSpacing"/>
              <w:rPr>
                <w:rFonts w:asciiTheme="majorHAnsi" w:hAnsiTheme="majorHAnsi"/>
              </w:rPr>
            </w:pPr>
            <w:r w:rsidRPr="00BA356F">
              <w:rPr>
                <w:rFonts w:asciiTheme="majorHAnsi" w:hAnsiTheme="majorHAnsi"/>
              </w:rPr>
              <w:t>2</w:t>
            </w:r>
          </w:p>
        </w:tc>
        <w:tc>
          <w:tcPr>
            <w:tcW w:w="8348" w:type="dxa"/>
          </w:tcPr>
          <w:p w14:paraId="69545BCA" w14:textId="0D1C1D7D" w:rsidR="00D83CFB" w:rsidRPr="00BA356F" w:rsidRDefault="00BA356F" w:rsidP="00BA356F">
            <w:pPr>
              <w:pStyle w:val="NoSpacing"/>
              <w:rPr>
                <w:rFonts w:asciiTheme="majorHAnsi" w:hAnsiTheme="majorHAnsi"/>
              </w:rPr>
            </w:pPr>
            <w:r w:rsidRPr="00BA356F">
              <w:rPr>
                <w:rFonts w:asciiTheme="majorHAnsi" w:hAnsiTheme="majorHAnsi"/>
              </w:rPr>
              <w:t>Maintaining and respecting employee privacy</w:t>
            </w:r>
          </w:p>
        </w:tc>
      </w:tr>
      <w:tr w:rsidR="00D83CFB" w:rsidRPr="00BA356F" w14:paraId="60CC62BB" w14:textId="77777777" w:rsidTr="00BA356F">
        <w:tc>
          <w:tcPr>
            <w:tcW w:w="1054" w:type="dxa"/>
          </w:tcPr>
          <w:p w14:paraId="4586B009" w14:textId="69E750A2" w:rsidR="00D83CFB" w:rsidRPr="00BA356F" w:rsidRDefault="00D83CFB" w:rsidP="00BA356F">
            <w:pPr>
              <w:pStyle w:val="NoSpacing"/>
              <w:rPr>
                <w:rFonts w:asciiTheme="majorHAnsi" w:hAnsiTheme="majorHAnsi"/>
              </w:rPr>
            </w:pPr>
            <w:r w:rsidRPr="00BA356F">
              <w:rPr>
                <w:rFonts w:asciiTheme="majorHAnsi" w:hAnsiTheme="majorHAnsi"/>
              </w:rPr>
              <w:t>3</w:t>
            </w:r>
          </w:p>
        </w:tc>
        <w:tc>
          <w:tcPr>
            <w:tcW w:w="8348" w:type="dxa"/>
          </w:tcPr>
          <w:p w14:paraId="5B1C1E89" w14:textId="61734D45" w:rsidR="00D83CFB" w:rsidRPr="00BA356F" w:rsidRDefault="00BA356F" w:rsidP="00BA356F">
            <w:pPr>
              <w:pStyle w:val="NoSpacing"/>
              <w:rPr>
                <w:rFonts w:asciiTheme="majorHAnsi" w:hAnsiTheme="majorHAnsi"/>
              </w:rPr>
            </w:pPr>
            <w:r w:rsidRPr="00BA356F">
              <w:rPr>
                <w:rFonts w:asciiTheme="majorHAnsi" w:hAnsiTheme="majorHAnsi"/>
              </w:rPr>
              <w:t>Gender recognition certificates</w:t>
            </w:r>
          </w:p>
        </w:tc>
      </w:tr>
      <w:tr w:rsidR="00D83CFB" w:rsidRPr="00BA356F" w14:paraId="5199EB0C" w14:textId="77777777" w:rsidTr="00BA356F">
        <w:tc>
          <w:tcPr>
            <w:tcW w:w="1054" w:type="dxa"/>
          </w:tcPr>
          <w:p w14:paraId="1BF48E88" w14:textId="6A0D49B7" w:rsidR="00D83CFB" w:rsidRPr="00BA356F" w:rsidRDefault="00D83CFB" w:rsidP="00BA356F">
            <w:pPr>
              <w:pStyle w:val="NoSpacing"/>
              <w:rPr>
                <w:rFonts w:asciiTheme="majorHAnsi" w:hAnsiTheme="majorHAnsi"/>
              </w:rPr>
            </w:pPr>
            <w:r w:rsidRPr="00BA356F">
              <w:rPr>
                <w:rFonts w:asciiTheme="majorHAnsi" w:hAnsiTheme="majorHAnsi"/>
              </w:rPr>
              <w:t>4</w:t>
            </w:r>
          </w:p>
        </w:tc>
        <w:tc>
          <w:tcPr>
            <w:tcW w:w="8348" w:type="dxa"/>
          </w:tcPr>
          <w:p w14:paraId="100CAEC8" w14:textId="34D48B1D" w:rsidR="00D83CFB" w:rsidRPr="00BA356F" w:rsidRDefault="00BA356F" w:rsidP="00BA356F">
            <w:pPr>
              <w:pStyle w:val="NoSpacing"/>
              <w:rPr>
                <w:rFonts w:asciiTheme="majorHAnsi" w:hAnsiTheme="majorHAnsi"/>
              </w:rPr>
            </w:pPr>
            <w:r w:rsidRPr="00BA356F">
              <w:rPr>
                <w:rFonts w:asciiTheme="majorHAnsi" w:hAnsiTheme="majorHAnsi"/>
              </w:rPr>
              <w:t>Using appropriate terminology and language</w:t>
            </w:r>
          </w:p>
        </w:tc>
      </w:tr>
      <w:tr w:rsidR="00D83CFB" w:rsidRPr="00BA356F" w14:paraId="29587E65" w14:textId="77777777" w:rsidTr="00BA356F">
        <w:tc>
          <w:tcPr>
            <w:tcW w:w="1054" w:type="dxa"/>
          </w:tcPr>
          <w:p w14:paraId="18DB14A3" w14:textId="2CDA89D2" w:rsidR="00D83CFB" w:rsidRPr="00BA356F" w:rsidRDefault="00D83CFB" w:rsidP="00BA356F">
            <w:pPr>
              <w:pStyle w:val="NoSpacing"/>
              <w:rPr>
                <w:rFonts w:asciiTheme="majorHAnsi" w:hAnsiTheme="majorHAnsi"/>
              </w:rPr>
            </w:pPr>
            <w:r w:rsidRPr="00BA356F">
              <w:rPr>
                <w:rFonts w:asciiTheme="majorHAnsi" w:hAnsiTheme="majorHAnsi"/>
              </w:rPr>
              <w:t>5</w:t>
            </w:r>
          </w:p>
        </w:tc>
        <w:tc>
          <w:tcPr>
            <w:tcW w:w="8348" w:type="dxa"/>
          </w:tcPr>
          <w:p w14:paraId="27B36C8F" w14:textId="04CACA6C" w:rsidR="00D83CFB" w:rsidRPr="00BA356F" w:rsidRDefault="00BA356F" w:rsidP="00BA356F">
            <w:pPr>
              <w:pStyle w:val="NoSpacing"/>
              <w:rPr>
                <w:rFonts w:asciiTheme="majorHAnsi" w:hAnsiTheme="majorHAnsi"/>
              </w:rPr>
            </w:pPr>
            <w:r w:rsidRPr="00BA356F">
              <w:rPr>
                <w:rFonts w:asciiTheme="majorHAnsi" w:hAnsiTheme="majorHAnsi"/>
              </w:rPr>
              <w:t>Inappropriate use of terminology and language</w:t>
            </w:r>
          </w:p>
        </w:tc>
      </w:tr>
      <w:tr w:rsidR="00D83CFB" w:rsidRPr="00BA356F" w14:paraId="25E28198" w14:textId="77777777" w:rsidTr="00BA356F">
        <w:tc>
          <w:tcPr>
            <w:tcW w:w="1054" w:type="dxa"/>
          </w:tcPr>
          <w:p w14:paraId="1B1BE1F9" w14:textId="000F9C55" w:rsidR="00D83CFB" w:rsidRPr="00BA356F" w:rsidRDefault="00D83CFB" w:rsidP="00BA356F">
            <w:pPr>
              <w:pStyle w:val="NoSpacing"/>
              <w:rPr>
                <w:rFonts w:asciiTheme="majorHAnsi" w:hAnsiTheme="majorHAnsi"/>
              </w:rPr>
            </w:pPr>
            <w:r w:rsidRPr="00BA356F">
              <w:rPr>
                <w:rFonts w:asciiTheme="majorHAnsi" w:hAnsiTheme="majorHAnsi"/>
              </w:rPr>
              <w:t>6</w:t>
            </w:r>
          </w:p>
        </w:tc>
        <w:tc>
          <w:tcPr>
            <w:tcW w:w="8348" w:type="dxa"/>
          </w:tcPr>
          <w:p w14:paraId="17B8C176" w14:textId="731A8E15" w:rsidR="00D83CFB" w:rsidRPr="00BA356F" w:rsidRDefault="00BA356F" w:rsidP="00BA356F">
            <w:pPr>
              <w:pStyle w:val="NoSpacing"/>
              <w:rPr>
                <w:rFonts w:asciiTheme="majorHAnsi" w:hAnsiTheme="majorHAnsi"/>
              </w:rPr>
            </w:pPr>
            <w:r w:rsidRPr="00BA356F">
              <w:rPr>
                <w:rFonts w:asciiTheme="majorHAnsi" w:hAnsiTheme="majorHAnsi"/>
              </w:rPr>
              <w:t>Having an inclusive recruitment process</w:t>
            </w:r>
          </w:p>
        </w:tc>
      </w:tr>
      <w:tr w:rsidR="00D83CFB" w:rsidRPr="00BA356F" w14:paraId="7F8FDE79" w14:textId="77777777" w:rsidTr="00BA356F">
        <w:tc>
          <w:tcPr>
            <w:tcW w:w="1054" w:type="dxa"/>
          </w:tcPr>
          <w:p w14:paraId="7D9260C2" w14:textId="71ED1AC7" w:rsidR="00D83CFB" w:rsidRPr="00BA356F" w:rsidRDefault="00D83CFB" w:rsidP="00BA356F">
            <w:pPr>
              <w:pStyle w:val="NoSpacing"/>
              <w:rPr>
                <w:rFonts w:asciiTheme="majorHAnsi" w:hAnsiTheme="majorHAnsi"/>
              </w:rPr>
            </w:pPr>
            <w:r w:rsidRPr="00BA356F">
              <w:rPr>
                <w:rFonts w:asciiTheme="majorHAnsi" w:hAnsiTheme="majorHAnsi"/>
              </w:rPr>
              <w:t>7</w:t>
            </w:r>
          </w:p>
        </w:tc>
        <w:tc>
          <w:tcPr>
            <w:tcW w:w="8348" w:type="dxa"/>
          </w:tcPr>
          <w:p w14:paraId="7396E9AF" w14:textId="02EB3940" w:rsidR="00D83CFB" w:rsidRPr="00BA356F" w:rsidRDefault="00BA356F" w:rsidP="00BA356F">
            <w:pPr>
              <w:pStyle w:val="NoSpacing"/>
              <w:rPr>
                <w:rFonts w:asciiTheme="majorHAnsi" w:hAnsiTheme="majorHAnsi"/>
              </w:rPr>
            </w:pPr>
            <w:r w:rsidRPr="00BA356F">
              <w:rPr>
                <w:rFonts w:asciiTheme="majorHAnsi" w:hAnsiTheme="majorHAnsi"/>
              </w:rPr>
              <w:t>Providing changing and toilet facilities</w:t>
            </w:r>
          </w:p>
        </w:tc>
      </w:tr>
      <w:tr w:rsidR="00D83CFB" w:rsidRPr="00BA356F" w14:paraId="0D251671" w14:textId="77777777" w:rsidTr="00BA356F">
        <w:tc>
          <w:tcPr>
            <w:tcW w:w="1054" w:type="dxa"/>
          </w:tcPr>
          <w:p w14:paraId="4D56CA8E" w14:textId="42B5E152" w:rsidR="00D83CFB" w:rsidRPr="00BA356F" w:rsidRDefault="00D83CFB" w:rsidP="00BA356F">
            <w:pPr>
              <w:pStyle w:val="NoSpacing"/>
              <w:rPr>
                <w:rFonts w:asciiTheme="majorHAnsi" w:hAnsiTheme="majorHAnsi"/>
              </w:rPr>
            </w:pPr>
            <w:r w:rsidRPr="00BA356F">
              <w:rPr>
                <w:rFonts w:asciiTheme="majorHAnsi" w:hAnsiTheme="majorHAnsi"/>
              </w:rPr>
              <w:t>8</w:t>
            </w:r>
          </w:p>
        </w:tc>
        <w:tc>
          <w:tcPr>
            <w:tcW w:w="8348" w:type="dxa"/>
          </w:tcPr>
          <w:p w14:paraId="15A59A81" w14:textId="63A07AB5" w:rsidR="00D83CFB" w:rsidRPr="00BA356F" w:rsidRDefault="00BA356F" w:rsidP="00BA356F">
            <w:pPr>
              <w:pStyle w:val="NoSpacing"/>
              <w:rPr>
                <w:rFonts w:asciiTheme="majorHAnsi" w:hAnsiTheme="majorHAnsi"/>
              </w:rPr>
            </w:pPr>
            <w:r w:rsidRPr="00BA356F">
              <w:rPr>
                <w:rFonts w:asciiTheme="majorHAnsi" w:hAnsiTheme="majorHAnsi"/>
              </w:rPr>
              <w:t>Workplace dress codes</w:t>
            </w:r>
          </w:p>
        </w:tc>
      </w:tr>
      <w:tr w:rsidR="00D83CFB" w:rsidRPr="00BA356F" w14:paraId="39F89356" w14:textId="77777777" w:rsidTr="00BA356F">
        <w:tc>
          <w:tcPr>
            <w:tcW w:w="1054" w:type="dxa"/>
          </w:tcPr>
          <w:p w14:paraId="62DA9CC7" w14:textId="5691EE6A" w:rsidR="00D83CFB" w:rsidRPr="00BA356F" w:rsidRDefault="00D83CFB" w:rsidP="00BA356F">
            <w:pPr>
              <w:pStyle w:val="NoSpacing"/>
              <w:rPr>
                <w:rFonts w:asciiTheme="majorHAnsi" w:hAnsiTheme="majorHAnsi"/>
              </w:rPr>
            </w:pPr>
            <w:r w:rsidRPr="00BA356F">
              <w:rPr>
                <w:rFonts w:asciiTheme="majorHAnsi" w:hAnsiTheme="majorHAnsi"/>
              </w:rPr>
              <w:t>9</w:t>
            </w:r>
          </w:p>
        </w:tc>
        <w:tc>
          <w:tcPr>
            <w:tcW w:w="8348" w:type="dxa"/>
          </w:tcPr>
          <w:p w14:paraId="77BD732E" w14:textId="13718ED7" w:rsidR="00D83CFB" w:rsidRPr="00BA356F" w:rsidRDefault="00BA356F" w:rsidP="00BA356F">
            <w:pPr>
              <w:pStyle w:val="NoSpacing"/>
              <w:rPr>
                <w:rFonts w:asciiTheme="majorHAnsi" w:hAnsiTheme="majorHAnsi"/>
              </w:rPr>
            </w:pPr>
            <w:r w:rsidRPr="00BA356F">
              <w:rPr>
                <w:rFonts w:asciiTheme="majorHAnsi" w:hAnsiTheme="majorHAnsi"/>
              </w:rPr>
              <w:t>Time off work for gender reassignment</w:t>
            </w:r>
          </w:p>
        </w:tc>
      </w:tr>
      <w:tr w:rsidR="00BA356F" w:rsidRPr="00BA356F" w14:paraId="4A1CE434" w14:textId="77777777" w:rsidTr="00BA356F">
        <w:tc>
          <w:tcPr>
            <w:tcW w:w="1054" w:type="dxa"/>
          </w:tcPr>
          <w:p w14:paraId="5A47D3FA" w14:textId="2576136A" w:rsidR="00BA356F" w:rsidRPr="00BA356F" w:rsidRDefault="00BA356F" w:rsidP="00BA356F">
            <w:pPr>
              <w:pStyle w:val="NoSpacing"/>
              <w:rPr>
                <w:rFonts w:asciiTheme="majorHAnsi" w:hAnsiTheme="majorHAnsi"/>
              </w:rPr>
            </w:pPr>
            <w:r w:rsidRPr="00BA356F">
              <w:rPr>
                <w:rFonts w:asciiTheme="majorHAnsi" w:hAnsiTheme="majorHAnsi"/>
              </w:rPr>
              <w:t>10</w:t>
            </w:r>
          </w:p>
        </w:tc>
        <w:tc>
          <w:tcPr>
            <w:tcW w:w="8348" w:type="dxa"/>
          </w:tcPr>
          <w:p w14:paraId="109BF544" w14:textId="28A761B4" w:rsidR="00BA356F" w:rsidRPr="00BA356F" w:rsidRDefault="00BA356F" w:rsidP="00BA356F">
            <w:pPr>
              <w:pStyle w:val="NoSpacing"/>
              <w:rPr>
                <w:rFonts w:asciiTheme="majorHAnsi" w:hAnsiTheme="majorHAnsi"/>
              </w:rPr>
            </w:pPr>
            <w:r w:rsidRPr="00BA356F">
              <w:rPr>
                <w:rFonts w:asciiTheme="majorHAnsi" w:hAnsiTheme="majorHAnsi"/>
              </w:rPr>
              <w:t>Carrying out formal action for absence levels</w:t>
            </w:r>
          </w:p>
        </w:tc>
      </w:tr>
      <w:tr w:rsidR="00BA356F" w:rsidRPr="00BA356F" w14:paraId="6B4176C2" w14:textId="77777777" w:rsidTr="00BA356F">
        <w:tc>
          <w:tcPr>
            <w:tcW w:w="1054" w:type="dxa"/>
          </w:tcPr>
          <w:p w14:paraId="3C512A9A" w14:textId="484986E1" w:rsidR="00BA356F" w:rsidRPr="00BA356F" w:rsidRDefault="00BA356F" w:rsidP="00BA356F">
            <w:pPr>
              <w:pStyle w:val="NoSpacing"/>
              <w:rPr>
                <w:rFonts w:asciiTheme="majorHAnsi" w:hAnsiTheme="majorHAnsi"/>
              </w:rPr>
            </w:pPr>
            <w:r w:rsidRPr="00BA356F">
              <w:rPr>
                <w:rFonts w:asciiTheme="majorHAnsi" w:hAnsiTheme="majorHAnsi"/>
              </w:rPr>
              <w:t>11</w:t>
            </w:r>
          </w:p>
        </w:tc>
        <w:tc>
          <w:tcPr>
            <w:tcW w:w="8348" w:type="dxa"/>
          </w:tcPr>
          <w:p w14:paraId="10DC3748" w14:textId="5398EDE1" w:rsidR="00BA356F" w:rsidRPr="00BA356F" w:rsidRDefault="00BA356F" w:rsidP="00BA356F">
            <w:pPr>
              <w:pStyle w:val="NoSpacing"/>
              <w:rPr>
                <w:rFonts w:asciiTheme="majorHAnsi" w:hAnsiTheme="majorHAnsi"/>
              </w:rPr>
            </w:pPr>
            <w:r w:rsidRPr="00BA356F">
              <w:rPr>
                <w:rFonts w:asciiTheme="majorHAnsi" w:hAnsiTheme="majorHAnsi"/>
              </w:rPr>
              <w:t>Preventing discrimination and harassment</w:t>
            </w:r>
          </w:p>
        </w:tc>
      </w:tr>
      <w:tr w:rsidR="00BA356F" w:rsidRPr="00BA356F" w14:paraId="1CA7C82E" w14:textId="77777777" w:rsidTr="00BA356F">
        <w:tc>
          <w:tcPr>
            <w:tcW w:w="1054" w:type="dxa"/>
          </w:tcPr>
          <w:p w14:paraId="6AE25FAB" w14:textId="735F3DFD" w:rsidR="00BA356F" w:rsidRPr="00BA356F" w:rsidRDefault="00BA356F" w:rsidP="00BA356F">
            <w:pPr>
              <w:pStyle w:val="NoSpacing"/>
              <w:rPr>
                <w:rFonts w:asciiTheme="majorHAnsi" w:hAnsiTheme="majorHAnsi"/>
              </w:rPr>
            </w:pPr>
            <w:r w:rsidRPr="00BA356F">
              <w:rPr>
                <w:rFonts w:asciiTheme="majorHAnsi" w:hAnsiTheme="majorHAnsi"/>
              </w:rPr>
              <w:t>12</w:t>
            </w:r>
          </w:p>
        </w:tc>
        <w:tc>
          <w:tcPr>
            <w:tcW w:w="8348" w:type="dxa"/>
          </w:tcPr>
          <w:p w14:paraId="097D07FA" w14:textId="7EE4B3BD" w:rsidR="00BA356F" w:rsidRPr="00BA356F" w:rsidRDefault="00BA356F" w:rsidP="00BA356F">
            <w:pPr>
              <w:pStyle w:val="NoSpacing"/>
              <w:rPr>
                <w:rFonts w:asciiTheme="majorHAnsi" w:hAnsiTheme="majorHAnsi"/>
              </w:rPr>
            </w:pPr>
            <w:r w:rsidRPr="00BA356F">
              <w:rPr>
                <w:rFonts w:asciiTheme="majorHAnsi" w:hAnsiTheme="majorHAnsi"/>
              </w:rPr>
              <w:t>Introducing a workplace policy</w:t>
            </w:r>
          </w:p>
        </w:tc>
      </w:tr>
      <w:tr w:rsidR="00BA356F" w:rsidRPr="00BA356F" w14:paraId="3E270B8D" w14:textId="77777777" w:rsidTr="00BA356F">
        <w:tc>
          <w:tcPr>
            <w:tcW w:w="1054" w:type="dxa"/>
          </w:tcPr>
          <w:p w14:paraId="78F47812" w14:textId="54EBFAF1" w:rsidR="00BA356F" w:rsidRPr="00BA356F" w:rsidRDefault="00BA356F" w:rsidP="00BA356F">
            <w:pPr>
              <w:pStyle w:val="NoSpacing"/>
              <w:rPr>
                <w:rFonts w:asciiTheme="majorHAnsi" w:hAnsiTheme="majorHAnsi"/>
              </w:rPr>
            </w:pPr>
            <w:r w:rsidRPr="00BA356F">
              <w:rPr>
                <w:rFonts w:asciiTheme="majorHAnsi" w:hAnsiTheme="majorHAnsi"/>
              </w:rPr>
              <w:t>13</w:t>
            </w:r>
          </w:p>
        </w:tc>
        <w:tc>
          <w:tcPr>
            <w:tcW w:w="8348" w:type="dxa"/>
          </w:tcPr>
          <w:p w14:paraId="55AF38E8" w14:textId="1A45D391" w:rsidR="00BA356F" w:rsidRPr="00BA356F" w:rsidRDefault="00BA356F" w:rsidP="00BA356F">
            <w:pPr>
              <w:pStyle w:val="NoSpacing"/>
              <w:rPr>
                <w:rFonts w:asciiTheme="majorHAnsi" w:hAnsiTheme="majorHAnsi"/>
              </w:rPr>
            </w:pPr>
            <w:r w:rsidRPr="00BA356F">
              <w:rPr>
                <w:rFonts w:asciiTheme="majorHAnsi" w:hAnsiTheme="majorHAnsi"/>
              </w:rPr>
              <w:t>Providing workplace support</w:t>
            </w:r>
          </w:p>
        </w:tc>
      </w:tr>
    </w:tbl>
    <w:p w14:paraId="1CF42510" w14:textId="7A5D4A08" w:rsidR="009C626D" w:rsidRPr="00BA356F" w:rsidRDefault="009C626D" w:rsidP="00BA356F">
      <w:pPr>
        <w:pStyle w:val="NoSpacing"/>
        <w:rPr>
          <w:rFonts w:asciiTheme="majorHAnsi" w:hAnsiTheme="majorHAnsi"/>
        </w:rPr>
      </w:pPr>
    </w:p>
    <w:p w14:paraId="3E30D9C1" w14:textId="77777777" w:rsidR="00BA356F" w:rsidRPr="00BA356F" w:rsidRDefault="00BA356F" w:rsidP="00BA356F">
      <w:pPr>
        <w:pStyle w:val="NoSpacing"/>
        <w:rPr>
          <w:rFonts w:asciiTheme="majorHAnsi" w:hAnsiTheme="majorHAnsi"/>
          <w:b/>
          <w:bCs/>
        </w:rPr>
      </w:pPr>
      <w:r w:rsidRPr="00BA356F">
        <w:rPr>
          <w:rFonts w:asciiTheme="majorHAnsi" w:hAnsiTheme="majorHAnsi"/>
          <w:b/>
          <w:bCs/>
        </w:rPr>
        <w:t>Note:</w:t>
      </w:r>
    </w:p>
    <w:p w14:paraId="251628D2" w14:textId="77777777" w:rsidR="00BA356F" w:rsidRDefault="00BA356F" w:rsidP="00BA356F">
      <w:pPr>
        <w:pStyle w:val="NoSpacing"/>
        <w:rPr>
          <w:rFonts w:asciiTheme="majorHAnsi" w:hAnsiTheme="majorHAnsi"/>
        </w:rPr>
      </w:pPr>
    </w:p>
    <w:p w14:paraId="731EA511" w14:textId="7C88BF0C" w:rsidR="00BA356F" w:rsidRPr="00BA356F" w:rsidRDefault="00BA356F" w:rsidP="00BA356F">
      <w:pPr>
        <w:pStyle w:val="NoSpacing"/>
        <w:rPr>
          <w:rFonts w:asciiTheme="majorHAnsi" w:hAnsiTheme="majorHAnsi"/>
        </w:rPr>
      </w:pPr>
      <w:r w:rsidRPr="00BA356F">
        <w:rPr>
          <w:rFonts w:asciiTheme="majorHAnsi" w:hAnsiTheme="majorHAnsi"/>
        </w:rPr>
        <w:t xml:space="preserve">On 16 April 2025, the </w:t>
      </w:r>
      <w:hyperlink r:id="rId8" w:anchor="WKID-202504161326580752-48279093">
        <w:r w:rsidRPr="00BA356F">
          <w:rPr>
            <w:rStyle w:val="Hyperlink"/>
            <w:rFonts w:asciiTheme="majorHAnsi" w:hAnsiTheme="majorHAnsi"/>
          </w:rPr>
          <w:t>Supreme Court ruling</w:t>
        </w:r>
      </w:hyperlink>
      <w:r w:rsidRPr="00BA356F">
        <w:rPr>
          <w:rFonts w:asciiTheme="majorHAnsi" w:hAnsiTheme="majorHAnsi"/>
        </w:rPr>
        <w:t xml:space="preserve"> clarified that the Equality Act 2010 definition of a woman is based on biological sex; "sex" under the Equality Act 2010 refers to biological sex, not acquired gender (even with a Gender Recognition Certificate, GRC). The Equality and Human Rights Commission (EHRC) provided an interim update on 25 April to help employers and others understand how to follow the law in response to the ruling. In September 2025, the EHRC concluded its consultation on the Code of Practice for Services, Public Functions and Associations.</w:t>
      </w:r>
    </w:p>
    <w:p w14:paraId="5D0EDAA5" w14:textId="77777777" w:rsidR="00BA356F" w:rsidRDefault="00BA356F" w:rsidP="00BA356F">
      <w:pPr>
        <w:pStyle w:val="NoSpacing"/>
        <w:rPr>
          <w:rFonts w:asciiTheme="majorHAnsi" w:hAnsiTheme="majorHAnsi"/>
        </w:rPr>
      </w:pPr>
    </w:p>
    <w:p w14:paraId="79AF62DA" w14:textId="5E28C4B2" w:rsidR="00BA356F" w:rsidRPr="00BA356F" w:rsidRDefault="00BA356F" w:rsidP="00BA356F">
      <w:pPr>
        <w:pStyle w:val="NoSpacing"/>
        <w:rPr>
          <w:rFonts w:asciiTheme="majorHAnsi" w:hAnsiTheme="majorHAnsi"/>
        </w:rPr>
      </w:pPr>
      <w:r w:rsidRPr="00BA356F">
        <w:rPr>
          <w:rFonts w:asciiTheme="majorHAnsi" w:hAnsiTheme="majorHAnsi"/>
        </w:rPr>
        <w:t>The CIPD has provided feedback from members on both the interim update and to the Code of Practice consultation, highlighting many of the questions and concerns that employers have. This included that the Code of Practice for Services, Public Functions and Associations, while useful to a small proportion employers that fall under the remit of that code, did not address the wider employment implications for most employers. The CIPD has highlighted to the EHRC the urgency of the need to update its Employment Code of Practice. At the time of publishing this paper, there has been no indication as to when the final Code of Practice for Services, Public Functions and Associations will be published.</w:t>
      </w:r>
    </w:p>
    <w:p w14:paraId="3D54AC41" w14:textId="77777777" w:rsidR="00BA356F" w:rsidRDefault="00BA356F" w:rsidP="00BA356F">
      <w:pPr>
        <w:pStyle w:val="NoSpacing"/>
        <w:rPr>
          <w:rFonts w:asciiTheme="majorHAnsi" w:hAnsiTheme="majorHAnsi"/>
        </w:rPr>
      </w:pPr>
    </w:p>
    <w:p w14:paraId="587031C4" w14:textId="1DE6E10F" w:rsidR="00BA356F" w:rsidRPr="00BA356F" w:rsidRDefault="00BA356F" w:rsidP="00BA356F">
      <w:pPr>
        <w:pStyle w:val="NoSpacing"/>
        <w:rPr>
          <w:rFonts w:asciiTheme="majorHAnsi" w:hAnsiTheme="majorHAnsi"/>
        </w:rPr>
      </w:pPr>
      <w:r w:rsidRPr="00BA356F">
        <w:rPr>
          <w:rFonts w:asciiTheme="majorHAnsi" w:hAnsiTheme="majorHAnsi"/>
        </w:rPr>
        <w:t>The CIPD will review and update all relevant guidance and assets following EHRC publications.</w:t>
      </w:r>
    </w:p>
    <w:p w14:paraId="4A8D6250" w14:textId="77777777" w:rsidR="00BA356F" w:rsidRDefault="00BA356F" w:rsidP="00BA356F">
      <w:pPr>
        <w:pStyle w:val="NoSpacing"/>
        <w:rPr>
          <w:rFonts w:asciiTheme="majorHAnsi" w:hAnsiTheme="majorHAnsi"/>
        </w:rPr>
      </w:pPr>
      <w:bookmarkStart w:id="0" w:name="X18734b3765f4b69f22766bb2ee10732682e0eb7"/>
    </w:p>
    <w:p w14:paraId="3A781100" w14:textId="77777777" w:rsidR="00BA356F" w:rsidRPr="00BA356F" w:rsidRDefault="00BA356F" w:rsidP="00BA356F">
      <w:pPr>
        <w:pStyle w:val="NoSpacing"/>
        <w:shd w:val="clear" w:color="auto" w:fill="D9D9D9" w:themeFill="background1" w:themeFillShade="D9"/>
        <w:rPr>
          <w:rFonts w:asciiTheme="majorHAnsi" w:hAnsiTheme="majorHAnsi"/>
          <w:b/>
          <w:bCs/>
        </w:rPr>
      </w:pPr>
      <w:r w:rsidRPr="00BA356F">
        <w:rPr>
          <w:rFonts w:asciiTheme="majorHAnsi" w:hAnsiTheme="majorHAnsi"/>
          <w:b/>
          <w:bCs/>
        </w:rPr>
        <w:t>1. UNDERSTANDING KEY TERMS</w:t>
      </w:r>
    </w:p>
    <w:p w14:paraId="2C97111B" w14:textId="77777777" w:rsidR="00BA356F" w:rsidRDefault="00BA356F" w:rsidP="00BA356F">
      <w:pPr>
        <w:pStyle w:val="NoSpacing"/>
        <w:rPr>
          <w:rFonts w:asciiTheme="majorHAnsi" w:hAnsiTheme="majorHAnsi"/>
        </w:rPr>
      </w:pPr>
    </w:p>
    <w:bookmarkEnd w:id="0"/>
    <w:p w14:paraId="1243D87B" w14:textId="77777777" w:rsidR="00BA356F" w:rsidRPr="00BA356F" w:rsidRDefault="00BA356F" w:rsidP="00BA356F">
      <w:pPr>
        <w:pStyle w:val="NoSpacing"/>
        <w:rPr>
          <w:rFonts w:asciiTheme="majorHAnsi" w:hAnsiTheme="majorHAnsi"/>
        </w:rPr>
      </w:pPr>
      <w:proofErr w:type="gramStart"/>
      <w:r w:rsidRPr="00BA356F">
        <w:rPr>
          <w:rFonts w:asciiTheme="majorHAnsi" w:hAnsiTheme="majorHAnsi"/>
        </w:rPr>
        <w:t>Language shapes perception,</w:t>
      </w:r>
      <w:proofErr w:type="gramEnd"/>
      <w:r w:rsidRPr="00BA356F">
        <w:rPr>
          <w:rFonts w:asciiTheme="majorHAnsi" w:hAnsiTheme="majorHAnsi"/>
        </w:rPr>
        <w:t xml:space="preserve"> influences workplace culture and can either strengthen or undermine inclusion. The words we choose either undermine or help to promote equality, diversity, fairness, inclusion and respect.  It’s also important to recognise that different people interpret language through the lens of their experiences, culture, history and background. Being aware of these perspectives helps prevent misunderstandings, avoid exclusion and challenge negative stereotypes or bias. Moreover, effective and inclusive language usage aligned to organisational business priorities can empower and uplift people and contribute to delivering organisational outcomes.</w:t>
      </w:r>
    </w:p>
    <w:p w14:paraId="11ACA59E" w14:textId="77777777" w:rsidR="00BA356F" w:rsidRDefault="00BA356F" w:rsidP="00BA356F">
      <w:pPr>
        <w:pStyle w:val="NoSpacing"/>
        <w:rPr>
          <w:rFonts w:asciiTheme="majorHAnsi" w:hAnsiTheme="majorHAnsi"/>
        </w:rPr>
      </w:pPr>
    </w:p>
    <w:p w14:paraId="4FD49B5C" w14:textId="2B30FED3" w:rsidR="00BA356F" w:rsidRPr="00BA356F" w:rsidRDefault="00BA356F" w:rsidP="00BA356F">
      <w:pPr>
        <w:pStyle w:val="NoSpacing"/>
        <w:rPr>
          <w:rFonts w:asciiTheme="majorHAnsi" w:hAnsiTheme="majorHAnsi"/>
        </w:rPr>
      </w:pPr>
      <w:r w:rsidRPr="00BA356F">
        <w:rPr>
          <w:rFonts w:asciiTheme="majorHAnsi" w:hAnsiTheme="majorHAnsi"/>
        </w:rPr>
        <w:t>By using inclusive, precise and contextually appropriate language you can: </w:t>
      </w:r>
    </w:p>
    <w:p w14:paraId="2ACA02FA" w14:textId="77777777" w:rsidR="00BA356F" w:rsidRDefault="00BA356F" w:rsidP="00BA356F">
      <w:pPr>
        <w:pStyle w:val="NoSpacing"/>
        <w:numPr>
          <w:ilvl w:val="0"/>
          <w:numId w:val="33"/>
        </w:numPr>
        <w:rPr>
          <w:rFonts w:asciiTheme="majorHAnsi" w:hAnsiTheme="majorHAnsi"/>
        </w:rPr>
      </w:pPr>
      <w:r w:rsidRPr="00BA356F">
        <w:rPr>
          <w:rFonts w:asciiTheme="majorHAnsi" w:hAnsiTheme="majorHAnsi"/>
        </w:rPr>
        <w:t>provide clarity and accuracy without alienating or offending</w:t>
      </w:r>
    </w:p>
    <w:p w14:paraId="2F8F7A51" w14:textId="0D665B52" w:rsidR="00BA356F" w:rsidRPr="00BA356F" w:rsidRDefault="00BA356F" w:rsidP="00BA356F">
      <w:pPr>
        <w:pStyle w:val="NoSpacing"/>
        <w:numPr>
          <w:ilvl w:val="0"/>
          <w:numId w:val="33"/>
        </w:numPr>
        <w:rPr>
          <w:rFonts w:asciiTheme="majorHAnsi" w:hAnsiTheme="majorHAnsi"/>
        </w:rPr>
      </w:pPr>
      <w:r w:rsidRPr="00BA356F">
        <w:rPr>
          <w:rFonts w:asciiTheme="majorHAnsi" w:hAnsiTheme="majorHAnsi"/>
        </w:rPr>
        <w:t>support and empower those who have faced barriers, marginalisation, or disadvantage linked to personal or protected characteristics.</w:t>
      </w:r>
    </w:p>
    <w:p w14:paraId="2A2717D3" w14:textId="77777777" w:rsidR="00BA356F" w:rsidRDefault="00BA356F" w:rsidP="00BA356F">
      <w:pPr>
        <w:pStyle w:val="NoSpacing"/>
        <w:rPr>
          <w:rFonts w:asciiTheme="majorHAnsi" w:hAnsiTheme="majorHAnsi"/>
        </w:rPr>
      </w:pPr>
    </w:p>
    <w:p w14:paraId="2E5449A6" w14:textId="22E0EE6A" w:rsidR="00BA356F" w:rsidRPr="00BA356F" w:rsidRDefault="00BA356F" w:rsidP="00BA356F">
      <w:pPr>
        <w:pStyle w:val="NoSpacing"/>
        <w:rPr>
          <w:rFonts w:asciiTheme="majorHAnsi" w:hAnsiTheme="majorHAnsi"/>
        </w:rPr>
      </w:pPr>
      <w:r w:rsidRPr="00BA356F">
        <w:rPr>
          <w:rFonts w:asciiTheme="majorHAnsi" w:hAnsiTheme="majorHAnsi"/>
        </w:rPr>
        <w:t>Understanding the terms below will help promote awareness and inclusivity, whilst avoiding incidents of harassment or bullying.</w:t>
      </w:r>
    </w:p>
    <w:p w14:paraId="2ECF5C76" w14:textId="77777777" w:rsidR="00BA356F" w:rsidRDefault="00BA356F" w:rsidP="00BA356F">
      <w:pPr>
        <w:pStyle w:val="NoSpacing"/>
        <w:rPr>
          <w:rFonts w:asciiTheme="majorHAnsi" w:hAnsiTheme="majorHAnsi"/>
        </w:rPr>
      </w:pPr>
    </w:p>
    <w:p w14:paraId="61092E25"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Gender identity</w:t>
      </w:r>
      <w:r w:rsidRPr="00BA356F">
        <w:rPr>
          <w:rFonts w:asciiTheme="majorHAnsi" w:hAnsiTheme="majorHAnsi"/>
        </w:rPr>
        <w:t xml:space="preserve"> — there is no specific legal definition of gender identity. The most understood meaning refers to an </w:t>
      </w:r>
      <w:proofErr w:type="gramStart"/>
      <w:r w:rsidRPr="00BA356F">
        <w:rPr>
          <w:rFonts w:asciiTheme="majorHAnsi" w:hAnsiTheme="majorHAnsi"/>
        </w:rPr>
        <w:t>individual’s</w:t>
      </w:r>
      <w:proofErr w:type="gramEnd"/>
      <w:r w:rsidRPr="00BA356F">
        <w:rPr>
          <w:rFonts w:asciiTheme="majorHAnsi" w:hAnsiTheme="majorHAnsi"/>
        </w:rPr>
        <w:t xml:space="preserve"> deeply held internal sense of being a man, woman, </w:t>
      </w:r>
      <w:proofErr w:type="gramStart"/>
      <w:r w:rsidRPr="00BA356F">
        <w:rPr>
          <w:rFonts w:asciiTheme="majorHAnsi" w:hAnsiTheme="majorHAnsi"/>
        </w:rPr>
        <w:t>neither,</w:t>
      </w:r>
      <w:proofErr w:type="gramEnd"/>
      <w:r w:rsidRPr="00BA356F">
        <w:rPr>
          <w:rFonts w:asciiTheme="majorHAnsi" w:hAnsiTheme="majorHAnsi"/>
        </w:rPr>
        <w:t xml:space="preserve"> both, or another gender. It exists independently of the sex registered or recorded at birth. Gender identity involves one’s internal sense of gender, separate from physical attributes. UK tribunals sometimes use “gender identity” in judgments when discussing discrimination cases involving transgender and non-binary people but it is not a protected characteristic </w:t>
      </w:r>
      <w:proofErr w:type="gramStart"/>
      <w:r w:rsidRPr="00BA356F">
        <w:rPr>
          <w:rFonts w:asciiTheme="majorHAnsi" w:hAnsiTheme="majorHAnsi"/>
        </w:rPr>
        <w:t>in its own right under</w:t>
      </w:r>
      <w:proofErr w:type="gramEnd"/>
      <w:r w:rsidRPr="00BA356F">
        <w:rPr>
          <w:rFonts w:asciiTheme="majorHAnsi" w:hAnsiTheme="majorHAnsi"/>
        </w:rPr>
        <w:t xml:space="preserve"> the Equality Act. Legal protection comes from the protected characteristic of gender reassignment.  </w:t>
      </w:r>
    </w:p>
    <w:p w14:paraId="74D481F9"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Gender reassignment</w:t>
      </w:r>
      <w:r w:rsidRPr="00BA356F">
        <w:rPr>
          <w:rFonts w:asciiTheme="majorHAnsi" w:hAnsiTheme="majorHAnsi"/>
        </w:rPr>
        <w:t xml:space="preserve"> — a protected characteristic under the Equality Act 2010, is where a person proposes to transition, is transitioning or has transitioned (even partially) by changing physiological or other sex-related attributes. Importantly, protection applies without the requirement (sometimes referred to as social transitioning) for any medical treatment, surgery, or a Gender Recognition Certificate (GRC). </w:t>
      </w:r>
    </w:p>
    <w:p w14:paraId="7EF79890"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Gender dysphoria</w:t>
      </w:r>
      <w:r w:rsidRPr="00BA356F">
        <w:rPr>
          <w:rFonts w:asciiTheme="majorHAnsi" w:hAnsiTheme="majorHAnsi"/>
        </w:rPr>
        <w:t xml:space="preserve"> — this is a recognised medical condition where an individual feels that their emotional and psychological identity to be at variance with the gender recorded/registered at birth. This used to be known as “gender identity disorder” which is now considered to be outdated.</w:t>
      </w:r>
    </w:p>
    <w:p w14:paraId="016B4975"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Transsexual</w:t>
      </w:r>
      <w:r w:rsidRPr="00BA356F">
        <w:rPr>
          <w:rFonts w:asciiTheme="majorHAnsi" w:hAnsiTheme="majorHAnsi"/>
        </w:rPr>
        <w:t xml:space="preserve"> — this is the specific term used within the Equality Act to define individuals who fall within the protected characteristic of gender reassignment. This is now considered to be an outdated term.</w:t>
      </w:r>
    </w:p>
    <w:p w14:paraId="24BA4D76"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Transgender</w:t>
      </w:r>
      <w:r w:rsidRPr="00BA356F">
        <w:rPr>
          <w:rFonts w:asciiTheme="majorHAnsi" w:hAnsiTheme="majorHAnsi"/>
        </w:rPr>
        <w:t xml:space="preserve"> — transgender is a term commonly used to describe people whose gender identity does not align with the sex recorded or registered at birth.</w:t>
      </w:r>
    </w:p>
    <w:p w14:paraId="5B8CA7A7"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Non-binary</w:t>
      </w:r>
      <w:r w:rsidRPr="00BA356F">
        <w:rPr>
          <w:rFonts w:asciiTheme="majorHAnsi" w:hAnsiTheme="majorHAnsi"/>
        </w:rPr>
        <w:t xml:space="preserve"> — this is an umbrella term for gender identities that do not fit exclusively within the categories of male or female. Non-binary people may identify as a mix of genders, neither gender, move between genders, or define their gender in ways that exist outside the traditional binary framework. It is recognised in UK equality and inclusion guidance (eg ACAS, the CIPD) as a valid gender identity, though it is not explicitly named as a separate protected characteristic under the Equality Act 2010. Protection usually arises through the characteristic of gender reassignment or under related provisions where discrimination is linked to the protected characteristic of gender reassignment. </w:t>
      </w:r>
    </w:p>
    <w:p w14:paraId="46670E03" w14:textId="77777777" w:rsidR="00BA356F" w:rsidRDefault="00BA356F" w:rsidP="00BA356F">
      <w:pPr>
        <w:pStyle w:val="NoSpacing"/>
        <w:numPr>
          <w:ilvl w:val="0"/>
          <w:numId w:val="34"/>
        </w:numPr>
        <w:rPr>
          <w:rFonts w:asciiTheme="majorHAnsi" w:hAnsiTheme="majorHAnsi"/>
        </w:rPr>
      </w:pPr>
      <w:r w:rsidRPr="00BA356F">
        <w:rPr>
          <w:rFonts w:asciiTheme="majorHAnsi" w:hAnsiTheme="majorHAnsi"/>
          <w:i/>
          <w:iCs/>
        </w:rPr>
        <w:t>Gender expression</w:t>
      </w:r>
      <w:r w:rsidRPr="00BA356F">
        <w:rPr>
          <w:rFonts w:asciiTheme="majorHAnsi" w:hAnsiTheme="majorHAnsi"/>
        </w:rPr>
        <w:t xml:space="preserve"> — this is the way in which an individual chooses to express their gender. Common examples include clothing, jewellery, hairstyles, voice, names and pronouns.</w:t>
      </w:r>
    </w:p>
    <w:p w14:paraId="6C2B312A" w14:textId="645906CF" w:rsidR="00BA356F" w:rsidRPr="00BA356F" w:rsidRDefault="00BA356F" w:rsidP="00BA356F">
      <w:pPr>
        <w:pStyle w:val="NoSpacing"/>
        <w:numPr>
          <w:ilvl w:val="0"/>
          <w:numId w:val="34"/>
        </w:numPr>
        <w:rPr>
          <w:rFonts w:asciiTheme="majorHAnsi" w:hAnsiTheme="majorHAnsi"/>
        </w:rPr>
      </w:pPr>
      <w:r w:rsidRPr="00BA356F">
        <w:rPr>
          <w:rFonts w:asciiTheme="majorHAnsi" w:hAnsiTheme="majorHAnsi"/>
          <w:i/>
          <w:iCs/>
        </w:rPr>
        <w:t>Affirmed gender</w:t>
      </w:r>
      <w:r w:rsidRPr="00BA356F">
        <w:rPr>
          <w:rFonts w:asciiTheme="majorHAnsi" w:hAnsiTheme="majorHAnsi"/>
        </w:rPr>
        <w:t xml:space="preserve"> — this is the term for an individual’s gender once gender reassignment has taken place.</w:t>
      </w:r>
    </w:p>
    <w:p w14:paraId="37678C4E" w14:textId="77777777" w:rsidR="00BA356F" w:rsidRDefault="00BA356F" w:rsidP="00BA356F">
      <w:pPr>
        <w:pStyle w:val="NoSpacing"/>
        <w:rPr>
          <w:rFonts w:asciiTheme="majorHAnsi" w:hAnsiTheme="majorHAnsi"/>
        </w:rPr>
      </w:pPr>
      <w:bookmarkStart w:id="1" w:name="X04c6b6c3842fc9d9ffbbaba557424db6c154484"/>
    </w:p>
    <w:p w14:paraId="500A0188" w14:textId="7D41787C" w:rsidR="00BA356F" w:rsidRPr="00BA356F" w:rsidRDefault="00BA356F" w:rsidP="00BA356F">
      <w:pPr>
        <w:pStyle w:val="NoSpacing"/>
        <w:shd w:val="clear" w:color="auto" w:fill="D9D9D9" w:themeFill="background1" w:themeFillShade="D9"/>
        <w:rPr>
          <w:rFonts w:asciiTheme="majorHAnsi" w:hAnsiTheme="majorHAnsi"/>
          <w:b/>
          <w:bCs/>
        </w:rPr>
      </w:pPr>
      <w:r w:rsidRPr="00BA356F">
        <w:rPr>
          <w:rFonts w:asciiTheme="majorHAnsi" w:hAnsiTheme="majorHAnsi"/>
          <w:b/>
          <w:bCs/>
        </w:rPr>
        <w:t xml:space="preserve">2. </w:t>
      </w:r>
      <w:r w:rsidRPr="00BA356F">
        <w:rPr>
          <w:rFonts w:asciiTheme="majorHAnsi" w:hAnsiTheme="majorHAnsi"/>
          <w:b/>
          <w:bCs/>
        </w:rPr>
        <w:t>M</w:t>
      </w:r>
      <w:r w:rsidRPr="00BA356F">
        <w:rPr>
          <w:rFonts w:asciiTheme="majorHAnsi" w:hAnsiTheme="majorHAnsi"/>
          <w:b/>
          <w:bCs/>
        </w:rPr>
        <w:t>AINTAINING AND RESPECTING EMPLOYEE PRIVACY</w:t>
      </w:r>
      <w:bookmarkEnd w:id="1"/>
    </w:p>
    <w:p w14:paraId="5A50F1B8" w14:textId="77777777" w:rsidR="00BA356F" w:rsidRDefault="00BA356F" w:rsidP="00BA356F">
      <w:pPr>
        <w:pStyle w:val="NoSpacing"/>
        <w:rPr>
          <w:rFonts w:asciiTheme="majorHAnsi" w:hAnsiTheme="majorHAnsi"/>
        </w:rPr>
      </w:pPr>
    </w:p>
    <w:p w14:paraId="2AE9A030" w14:textId="53B8242F" w:rsidR="00BA356F" w:rsidRPr="00BA356F" w:rsidRDefault="00BA356F" w:rsidP="00BA356F">
      <w:pPr>
        <w:pStyle w:val="NoSpacing"/>
        <w:rPr>
          <w:rFonts w:asciiTheme="majorHAnsi" w:hAnsiTheme="majorHAnsi"/>
        </w:rPr>
      </w:pPr>
      <w:r w:rsidRPr="00BA356F">
        <w:rPr>
          <w:rFonts w:asciiTheme="majorHAnsi" w:hAnsiTheme="majorHAnsi"/>
        </w:rPr>
        <w:lastRenderedPageBreak/>
        <w:t>There is no requirement for a transgender individual to inform your organisation of their gender reassignment, either prior to or during their employment. You should not ask employees intrusive questions about their gender identity or affirmed gender.</w:t>
      </w:r>
    </w:p>
    <w:p w14:paraId="755B0918" w14:textId="77777777" w:rsidR="00BA356F" w:rsidRDefault="00BA356F" w:rsidP="00BA356F">
      <w:pPr>
        <w:pStyle w:val="NoSpacing"/>
        <w:rPr>
          <w:rFonts w:asciiTheme="majorHAnsi" w:hAnsiTheme="majorHAnsi"/>
        </w:rPr>
      </w:pPr>
    </w:p>
    <w:p w14:paraId="5FB32CD9" w14:textId="6E560718" w:rsidR="00BA356F" w:rsidRPr="00BA356F" w:rsidRDefault="00BA356F" w:rsidP="00BA356F">
      <w:pPr>
        <w:pStyle w:val="NoSpacing"/>
        <w:rPr>
          <w:rFonts w:asciiTheme="majorHAnsi" w:hAnsiTheme="majorHAnsi"/>
        </w:rPr>
      </w:pPr>
      <w:r w:rsidRPr="00BA356F">
        <w:rPr>
          <w:rFonts w:asciiTheme="majorHAnsi" w:hAnsiTheme="majorHAnsi"/>
        </w:rPr>
        <w:t>In practice, you may become aware that an individual is transgender. This may be because the employee has directly informed you of this, eg they are currently transitioning so need to request time off for gender reassignment, or through indirect methods such as social media or identity documents.</w:t>
      </w:r>
    </w:p>
    <w:p w14:paraId="7687C842" w14:textId="77777777" w:rsidR="00BA356F" w:rsidRDefault="00BA356F" w:rsidP="00BA356F">
      <w:pPr>
        <w:pStyle w:val="NoSpacing"/>
        <w:rPr>
          <w:rFonts w:asciiTheme="majorHAnsi" w:hAnsiTheme="majorHAnsi"/>
        </w:rPr>
      </w:pPr>
    </w:p>
    <w:p w14:paraId="77CC71BF" w14:textId="4078D4C8" w:rsidR="00BA356F" w:rsidRPr="00BA356F" w:rsidRDefault="00BA356F" w:rsidP="00BA356F">
      <w:pPr>
        <w:pStyle w:val="NoSpacing"/>
        <w:rPr>
          <w:rFonts w:asciiTheme="majorHAnsi" w:hAnsiTheme="majorHAnsi"/>
        </w:rPr>
      </w:pPr>
      <w:r w:rsidRPr="00BA356F">
        <w:rPr>
          <w:rFonts w:asciiTheme="majorHAnsi" w:hAnsiTheme="majorHAnsi"/>
        </w:rPr>
        <w:t>To avoid breaching the individual’s privacy, you should meet with the employee, in private, to discuss sharing this information with necessary third parties. Where the information is required to be disclosed, such as for legally required recruitment checks, the employee should be informed of this in advance. In addition, you must make sure an employee is not “outed” as being transgender, as this is likely to breach privacy and data protection laws. Again, any sharing of information can be discussed and agreed with the individual in advance.</w:t>
      </w:r>
    </w:p>
    <w:p w14:paraId="5B56225D" w14:textId="77777777" w:rsidR="00BA356F" w:rsidRDefault="00BA356F" w:rsidP="00BA356F">
      <w:pPr>
        <w:pStyle w:val="NoSpacing"/>
        <w:rPr>
          <w:rFonts w:asciiTheme="majorHAnsi" w:hAnsiTheme="majorHAnsi"/>
        </w:rPr>
      </w:pPr>
      <w:bookmarkStart w:id="2" w:name="Xfffd4aaa13779854b2388d48de4bcf5ab626b58"/>
    </w:p>
    <w:p w14:paraId="7934A252" w14:textId="29675210" w:rsidR="00BA356F" w:rsidRPr="00BA356F" w:rsidRDefault="00BA356F" w:rsidP="00BA356F">
      <w:pPr>
        <w:pStyle w:val="NoSpacing"/>
        <w:shd w:val="clear" w:color="auto" w:fill="D9D9D9" w:themeFill="background1" w:themeFillShade="D9"/>
        <w:rPr>
          <w:rFonts w:asciiTheme="majorHAnsi" w:hAnsiTheme="majorHAnsi"/>
          <w:b/>
          <w:bCs/>
        </w:rPr>
      </w:pPr>
      <w:r w:rsidRPr="00BA356F">
        <w:rPr>
          <w:rFonts w:asciiTheme="majorHAnsi" w:hAnsiTheme="majorHAnsi"/>
          <w:b/>
          <w:bCs/>
        </w:rPr>
        <w:t xml:space="preserve">3. </w:t>
      </w:r>
      <w:r w:rsidRPr="00BA356F">
        <w:rPr>
          <w:rFonts w:asciiTheme="majorHAnsi" w:hAnsiTheme="majorHAnsi"/>
          <w:b/>
          <w:bCs/>
        </w:rPr>
        <w:t>G</w:t>
      </w:r>
      <w:r w:rsidRPr="00BA356F">
        <w:rPr>
          <w:rFonts w:asciiTheme="majorHAnsi" w:hAnsiTheme="majorHAnsi"/>
          <w:b/>
          <w:bCs/>
        </w:rPr>
        <w:t>ENDER RECOGNITION CERTIFICATES</w:t>
      </w:r>
      <w:bookmarkEnd w:id="2"/>
    </w:p>
    <w:p w14:paraId="261B723C" w14:textId="77777777" w:rsidR="00BA356F" w:rsidRDefault="00BA356F" w:rsidP="00BA356F">
      <w:pPr>
        <w:pStyle w:val="NoSpacing"/>
        <w:rPr>
          <w:rFonts w:asciiTheme="majorHAnsi" w:hAnsiTheme="majorHAnsi"/>
        </w:rPr>
      </w:pPr>
    </w:p>
    <w:p w14:paraId="73442064" w14:textId="7BC3EB01" w:rsidR="00BA356F" w:rsidRPr="00BA356F" w:rsidRDefault="00BA356F" w:rsidP="00BA356F">
      <w:pPr>
        <w:pStyle w:val="NoSpacing"/>
        <w:rPr>
          <w:rFonts w:asciiTheme="majorHAnsi" w:hAnsiTheme="majorHAnsi"/>
        </w:rPr>
      </w:pPr>
      <w:r w:rsidRPr="00BA356F">
        <w:rPr>
          <w:rFonts w:asciiTheme="majorHAnsi" w:hAnsiTheme="majorHAnsi"/>
        </w:rPr>
        <w:t>Under the Gender Recognition Act 2004, individuals who have undergone gender reassignment may apply for a gender recognition certificate as legal recognition of their affirmed gender. A certificate will be provided by the Gender Recognition Panel which allows the individual to go on and apply for official documents in their affirmed gender, such as a new birth certificate or marriage certificate.</w:t>
      </w:r>
    </w:p>
    <w:p w14:paraId="3C07F7AC" w14:textId="77777777" w:rsidR="00EE694E" w:rsidRDefault="00EE694E" w:rsidP="00BA356F">
      <w:pPr>
        <w:pStyle w:val="NoSpacing"/>
        <w:rPr>
          <w:rFonts w:asciiTheme="majorHAnsi" w:hAnsiTheme="majorHAnsi"/>
        </w:rPr>
      </w:pPr>
    </w:p>
    <w:p w14:paraId="179B9F3B" w14:textId="24B7D8E1" w:rsidR="00BA356F" w:rsidRPr="00BA356F" w:rsidRDefault="00BA356F" w:rsidP="00BA356F">
      <w:pPr>
        <w:pStyle w:val="NoSpacing"/>
        <w:rPr>
          <w:rFonts w:asciiTheme="majorHAnsi" w:hAnsiTheme="majorHAnsi"/>
        </w:rPr>
      </w:pPr>
      <w:r w:rsidRPr="00BA356F">
        <w:rPr>
          <w:rFonts w:asciiTheme="majorHAnsi" w:hAnsiTheme="majorHAnsi"/>
        </w:rPr>
        <w:t>Where you are aware that a job applicant or employee has undergone gender reassignment, you must not ask to be provided with a gender recognition certificate. Instead, your organisation should proceed as if they have received this certificate and the individual’s affirmed gender is legally recognised.</w:t>
      </w:r>
    </w:p>
    <w:p w14:paraId="7CE57A34" w14:textId="77777777" w:rsidR="00EE694E" w:rsidRDefault="00EE694E" w:rsidP="00BA356F">
      <w:pPr>
        <w:pStyle w:val="NoSpacing"/>
        <w:rPr>
          <w:rFonts w:asciiTheme="majorHAnsi" w:hAnsiTheme="majorHAnsi"/>
        </w:rPr>
      </w:pPr>
      <w:bookmarkStart w:id="3" w:name="X16fc7afaa37cf94c832186ae4337970b61b0ba9"/>
    </w:p>
    <w:p w14:paraId="48385A7F" w14:textId="366003D7" w:rsidR="00BA356F" w:rsidRPr="00EE694E" w:rsidRDefault="00EE694E" w:rsidP="00EE694E">
      <w:pPr>
        <w:pStyle w:val="NoSpacing"/>
        <w:shd w:val="clear" w:color="auto" w:fill="D9D9D9" w:themeFill="background1" w:themeFillShade="D9"/>
        <w:rPr>
          <w:rFonts w:asciiTheme="majorHAnsi" w:hAnsiTheme="majorHAnsi"/>
          <w:b/>
          <w:bCs/>
        </w:rPr>
      </w:pPr>
      <w:r w:rsidRPr="00EE694E">
        <w:rPr>
          <w:rFonts w:asciiTheme="majorHAnsi" w:hAnsiTheme="majorHAnsi"/>
          <w:b/>
          <w:bCs/>
        </w:rPr>
        <w:t xml:space="preserve">4. </w:t>
      </w:r>
      <w:r w:rsidR="00BA356F" w:rsidRPr="00EE694E">
        <w:rPr>
          <w:rFonts w:asciiTheme="majorHAnsi" w:hAnsiTheme="majorHAnsi"/>
          <w:b/>
          <w:bCs/>
        </w:rPr>
        <w:t>U</w:t>
      </w:r>
      <w:r w:rsidRPr="00EE694E">
        <w:rPr>
          <w:rFonts w:asciiTheme="majorHAnsi" w:hAnsiTheme="majorHAnsi"/>
          <w:b/>
          <w:bCs/>
        </w:rPr>
        <w:t>SING APPROPRIATE TERMINOLOGY AND LANGUAGE</w:t>
      </w:r>
      <w:bookmarkEnd w:id="3"/>
    </w:p>
    <w:p w14:paraId="7A456DE1" w14:textId="77777777" w:rsidR="00EE694E" w:rsidRDefault="00EE694E" w:rsidP="00BA356F">
      <w:pPr>
        <w:pStyle w:val="NoSpacing"/>
        <w:rPr>
          <w:rFonts w:asciiTheme="majorHAnsi" w:hAnsiTheme="majorHAnsi"/>
        </w:rPr>
      </w:pPr>
    </w:p>
    <w:p w14:paraId="34F49F97" w14:textId="1C801F82" w:rsidR="00BA356F" w:rsidRPr="00BA356F" w:rsidRDefault="00BA356F" w:rsidP="00BA356F">
      <w:pPr>
        <w:pStyle w:val="NoSpacing"/>
        <w:rPr>
          <w:rFonts w:asciiTheme="majorHAnsi" w:hAnsiTheme="majorHAnsi"/>
        </w:rPr>
      </w:pPr>
      <w:r w:rsidRPr="00BA356F">
        <w:rPr>
          <w:rFonts w:asciiTheme="majorHAnsi" w:hAnsiTheme="majorHAnsi"/>
        </w:rPr>
        <w:t>How your organisation communicates with, or about, a transgender individual will set the foundation for a respectful and inclusive workplace culture.</w:t>
      </w:r>
    </w:p>
    <w:p w14:paraId="7C919EDA" w14:textId="77777777" w:rsidR="00EE694E" w:rsidRDefault="00EE694E" w:rsidP="00BA356F">
      <w:pPr>
        <w:pStyle w:val="NoSpacing"/>
        <w:rPr>
          <w:rFonts w:asciiTheme="majorHAnsi" w:hAnsiTheme="majorHAnsi"/>
        </w:rPr>
      </w:pPr>
    </w:p>
    <w:p w14:paraId="279B3B73" w14:textId="54953EA8" w:rsidR="00BA356F" w:rsidRPr="00BA356F" w:rsidRDefault="00BA356F" w:rsidP="00BA356F">
      <w:pPr>
        <w:pStyle w:val="NoSpacing"/>
        <w:rPr>
          <w:rFonts w:asciiTheme="majorHAnsi" w:hAnsiTheme="majorHAnsi"/>
        </w:rPr>
      </w:pPr>
      <w:r w:rsidRPr="00BA356F">
        <w:rPr>
          <w:rFonts w:asciiTheme="majorHAnsi" w:hAnsiTheme="majorHAnsi"/>
        </w:rPr>
        <w:t>Although it can be easy to assume the title or appropriate pronoun to use dependent on an individual’s physical appearance, you should positively avoid making this assumption. For example, non-binary individuals may not wish to be referred to as “he” or “she” based on their appearance. It is good practice to speak to the employee, in private, and sensitively ask them how they would prefer to be addressed or referred to. You should also request their approval to communicate this to others within the business as necessary.</w:t>
      </w:r>
    </w:p>
    <w:p w14:paraId="708110DF" w14:textId="77777777" w:rsidR="00EE694E" w:rsidRDefault="00EE694E" w:rsidP="00BA356F">
      <w:pPr>
        <w:pStyle w:val="NoSpacing"/>
        <w:rPr>
          <w:rFonts w:asciiTheme="majorHAnsi" w:hAnsiTheme="majorHAnsi"/>
        </w:rPr>
      </w:pPr>
    </w:p>
    <w:p w14:paraId="09446B38" w14:textId="698FA60A" w:rsidR="00BA356F" w:rsidRDefault="00BA356F" w:rsidP="00BA356F">
      <w:pPr>
        <w:pStyle w:val="NoSpacing"/>
        <w:rPr>
          <w:rFonts w:asciiTheme="majorHAnsi" w:hAnsiTheme="majorHAnsi"/>
        </w:rPr>
      </w:pPr>
      <w:r w:rsidRPr="00BA356F">
        <w:rPr>
          <w:rFonts w:asciiTheme="majorHAnsi" w:hAnsiTheme="majorHAnsi"/>
        </w:rPr>
        <w:t>Equality, diversity and inclusion (EDI) training carried out by your organisation should include information on appropriate terminology and language to use when speaking to, or about, a transgender individual within the workplace. This can also be included in an internal policy</w:t>
      </w:r>
      <w:r w:rsidR="00EE694E">
        <w:rPr>
          <w:rFonts w:asciiTheme="majorHAnsi" w:hAnsiTheme="majorHAnsi"/>
        </w:rPr>
        <w:t>.</w:t>
      </w:r>
    </w:p>
    <w:p w14:paraId="5EA287EC" w14:textId="77777777" w:rsidR="00EE694E" w:rsidRPr="00BA356F" w:rsidRDefault="00EE694E" w:rsidP="00BA356F">
      <w:pPr>
        <w:pStyle w:val="NoSpacing"/>
        <w:rPr>
          <w:rFonts w:asciiTheme="majorHAnsi" w:hAnsiTheme="majorHAnsi"/>
        </w:rPr>
      </w:pPr>
    </w:p>
    <w:p w14:paraId="20D1FEEA" w14:textId="64152DF6" w:rsidR="00BA356F" w:rsidRPr="00EE694E" w:rsidRDefault="00EE694E" w:rsidP="00EE694E">
      <w:pPr>
        <w:pStyle w:val="NoSpacing"/>
        <w:shd w:val="clear" w:color="auto" w:fill="D9D9D9" w:themeFill="background1" w:themeFillShade="D9"/>
        <w:rPr>
          <w:rFonts w:asciiTheme="majorHAnsi" w:hAnsiTheme="majorHAnsi"/>
          <w:b/>
          <w:bCs/>
        </w:rPr>
      </w:pPr>
      <w:bookmarkStart w:id="4" w:name="X488514b339d5aa759d79a3a7e9efda320cf2f20"/>
      <w:r w:rsidRPr="00EE694E">
        <w:rPr>
          <w:rFonts w:asciiTheme="majorHAnsi" w:hAnsiTheme="majorHAnsi"/>
          <w:b/>
          <w:bCs/>
        </w:rPr>
        <w:t xml:space="preserve">5. </w:t>
      </w:r>
      <w:r w:rsidR="00BA356F" w:rsidRPr="00EE694E">
        <w:rPr>
          <w:rFonts w:asciiTheme="majorHAnsi" w:hAnsiTheme="majorHAnsi"/>
          <w:b/>
          <w:bCs/>
        </w:rPr>
        <w:t>I</w:t>
      </w:r>
      <w:r w:rsidRPr="00EE694E">
        <w:rPr>
          <w:rFonts w:asciiTheme="majorHAnsi" w:hAnsiTheme="majorHAnsi"/>
          <w:b/>
          <w:bCs/>
        </w:rPr>
        <w:t>NAPPROPRIATE USE OF TERMINO</w:t>
      </w:r>
      <w:r>
        <w:rPr>
          <w:rFonts w:asciiTheme="majorHAnsi" w:hAnsiTheme="majorHAnsi"/>
          <w:b/>
          <w:bCs/>
        </w:rPr>
        <w:t>L</w:t>
      </w:r>
      <w:r w:rsidRPr="00EE694E">
        <w:rPr>
          <w:rFonts w:asciiTheme="majorHAnsi" w:hAnsiTheme="majorHAnsi"/>
          <w:b/>
          <w:bCs/>
        </w:rPr>
        <w:t>OGY OR LANGUAGE</w:t>
      </w:r>
      <w:bookmarkEnd w:id="4"/>
    </w:p>
    <w:p w14:paraId="6225264D" w14:textId="77777777" w:rsidR="00EE694E" w:rsidRPr="00BA356F" w:rsidRDefault="00EE694E" w:rsidP="00BA356F">
      <w:pPr>
        <w:pStyle w:val="NoSpacing"/>
        <w:rPr>
          <w:rFonts w:asciiTheme="majorHAnsi" w:hAnsiTheme="majorHAnsi"/>
        </w:rPr>
      </w:pPr>
    </w:p>
    <w:p w14:paraId="332D19FF" w14:textId="77777777" w:rsidR="00BA356F" w:rsidRPr="00BA356F" w:rsidRDefault="00BA356F" w:rsidP="00BA356F">
      <w:pPr>
        <w:pStyle w:val="NoSpacing"/>
        <w:rPr>
          <w:rFonts w:asciiTheme="majorHAnsi" w:hAnsiTheme="majorHAnsi"/>
        </w:rPr>
      </w:pPr>
      <w:r w:rsidRPr="00BA356F">
        <w:rPr>
          <w:rFonts w:asciiTheme="majorHAnsi" w:hAnsiTheme="majorHAnsi"/>
        </w:rPr>
        <w:lastRenderedPageBreak/>
        <w:t>You may experience situations where members of staff are using inappropriate, derogatory or insulting terms and phrases about individuals who are undergoing, have undergone or are proposing to undergo gender reassignment. It is vital that you take immediate action to prevent this occurring; this may be from taking informal action through to formal action in accordance with your organisation’s human resources management procedures.</w:t>
      </w:r>
    </w:p>
    <w:p w14:paraId="27A04D7F" w14:textId="77777777" w:rsidR="00EE694E" w:rsidRDefault="00EE694E" w:rsidP="00BA356F">
      <w:pPr>
        <w:pStyle w:val="NoSpacing"/>
        <w:rPr>
          <w:rFonts w:asciiTheme="majorHAnsi" w:hAnsiTheme="majorHAnsi"/>
        </w:rPr>
      </w:pPr>
      <w:bookmarkStart w:id="5" w:name="WKID-202509260906090096-81218186"/>
    </w:p>
    <w:p w14:paraId="644B0DF2" w14:textId="1B91135B" w:rsidR="00BA356F" w:rsidRPr="00EE694E" w:rsidRDefault="00BA356F" w:rsidP="00BA356F">
      <w:pPr>
        <w:pStyle w:val="NoSpacing"/>
        <w:rPr>
          <w:rFonts w:asciiTheme="majorHAnsi" w:hAnsiTheme="majorHAnsi"/>
          <w:b/>
          <w:bCs/>
        </w:rPr>
      </w:pPr>
      <w:r w:rsidRPr="00EE694E">
        <w:rPr>
          <w:rFonts w:asciiTheme="majorHAnsi" w:hAnsiTheme="majorHAnsi"/>
          <w:b/>
          <w:bCs/>
        </w:rPr>
        <w:t>Use of former names, pronouns and banter</w:t>
      </w:r>
      <w:bookmarkEnd w:id="5"/>
    </w:p>
    <w:p w14:paraId="16E01D28" w14:textId="77777777" w:rsidR="00EE694E" w:rsidRDefault="00EE694E" w:rsidP="00BA356F">
      <w:pPr>
        <w:pStyle w:val="NoSpacing"/>
        <w:rPr>
          <w:rFonts w:asciiTheme="majorHAnsi" w:hAnsiTheme="majorHAnsi"/>
        </w:rPr>
      </w:pPr>
    </w:p>
    <w:p w14:paraId="2E62F39A" w14:textId="4BC9C6E5" w:rsidR="00BA356F" w:rsidRPr="00BA356F" w:rsidRDefault="00BA356F" w:rsidP="00BA356F">
      <w:pPr>
        <w:pStyle w:val="NoSpacing"/>
        <w:rPr>
          <w:rFonts w:asciiTheme="majorHAnsi" w:hAnsiTheme="majorHAnsi"/>
        </w:rPr>
      </w:pPr>
      <w:r w:rsidRPr="00BA356F">
        <w:rPr>
          <w:rFonts w:asciiTheme="majorHAnsi" w:hAnsiTheme="majorHAnsi"/>
        </w:rPr>
        <w:t xml:space="preserve">Deliberately and persistently using an employee’s previous title, past name or an inappropriate pronoun (also known as “dead naming”) as a way of demeaning or insulting them could constitute harassment related to the protected characteristic of gender reassignment. Where there is evidence of such behaviour, this should be viewed as a formal disciplinary matter by your </w:t>
      </w:r>
      <w:proofErr w:type="gramStart"/>
      <w:r w:rsidRPr="00BA356F">
        <w:rPr>
          <w:rFonts w:asciiTheme="majorHAnsi" w:hAnsiTheme="majorHAnsi"/>
        </w:rPr>
        <w:t>organisation</w:t>
      </w:r>
      <w:proofErr w:type="gramEnd"/>
      <w:r w:rsidRPr="00BA356F">
        <w:rPr>
          <w:rFonts w:asciiTheme="majorHAnsi" w:hAnsiTheme="majorHAnsi"/>
        </w:rPr>
        <w:t xml:space="preserve"> and the normal disciplinary procedure should be followed.</w:t>
      </w:r>
    </w:p>
    <w:p w14:paraId="445BDC24" w14:textId="77777777" w:rsidR="00EE694E" w:rsidRDefault="00EE694E" w:rsidP="00BA356F">
      <w:pPr>
        <w:pStyle w:val="NoSpacing"/>
        <w:rPr>
          <w:rFonts w:asciiTheme="majorHAnsi" w:hAnsiTheme="majorHAnsi"/>
        </w:rPr>
      </w:pPr>
    </w:p>
    <w:p w14:paraId="252829FF" w14:textId="369D6144" w:rsidR="00BA356F" w:rsidRDefault="00BA356F" w:rsidP="00BA356F">
      <w:pPr>
        <w:pStyle w:val="NoSpacing"/>
        <w:rPr>
          <w:rFonts w:asciiTheme="majorHAnsi" w:hAnsiTheme="majorHAnsi"/>
        </w:rPr>
      </w:pPr>
      <w:r w:rsidRPr="00BA356F">
        <w:rPr>
          <w:rFonts w:asciiTheme="majorHAnsi" w:hAnsiTheme="majorHAnsi"/>
        </w:rPr>
        <w:t xml:space="preserve">Employees may claim they are engaged in “banter” with the individual when they are using inappropriate terminology or language. Your organisation should still view this incident seriously and steps should be taken to address this with the employee. Banter is not an acceptable defence to incidents of </w:t>
      </w:r>
      <w:proofErr w:type="gramStart"/>
      <w:r w:rsidRPr="00BA356F">
        <w:rPr>
          <w:rFonts w:asciiTheme="majorHAnsi" w:hAnsiTheme="majorHAnsi"/>
        </w:rPr>
        <w:t>harassment</w:t>
      </w:r>
      <w:proofErr w:type="gramEnd"/>
      <w:r w:rsidRPr="00BA356F">
        <w:rPr>
          <w:rFonts w:asciiTheme="majorHAnsi" w:hAnsiTheme="majorHAnsi"/>
        </w:rPr>
        <w:t xml:space="preserve"> and you will have to show your organisation has taken all reasonable steps to prevent unacceptable language should the individual bring a harassment claim at tribunal</w:t>
      </w:r>
      <w:r w:rsidR="00EE694E">
        <w:rPr>
          <w:rFonts w:asciiTheme="majorHAnsi" w:hAnsiTheme="majorHAnsi"/>
        </w:rPr>
        <w:t>.</w:t>
      </w:r>
    </w:p>
    <w:p w14:paraId="4E69D9D5" w14:textId="77777777" w:rsidR="00EE694E" w:rsidRPr="00BA356F" w:rsidRDefault="00EE694E" w:rsidP="00BA356F">
      <w:pPr>
        <w:pStyle w:val="NoSpacing"/>
        <w:rPr>
          <w:rFonts w:asciiTheme="majorHAnsi" w:hAnsiTheme="majorHAnsi"/>
        </w:rPr>
      </w:pPr>
    </w:p>
    <w:p w14:paraId="10DFE751" w14:textId="1C6696EA" w:rsidR="00BA356F" w:rsidRDefault="00EE694E" w:rsidP="00EE694E">
      <w:pPr>
        <w:pStyle w:val="NoSpacing"/>
        <w:shd w:val="clear" w:color="auto" w:fill="D9D9D9" w:themeFill="background1" w:themeFillShade="D9"/>
        <w:rPr>
          <w:rFonts w:asciiTheme="majorHAnsi" w:hAnsiTheme="majorHAnsi"/>
          <w:b/>
          <w:bCs/>
        </w:rPr>
      </w:pPr>
      <w:bookmarkStart w:id="6" w:name="X949b248ca8cbce1fd19c6d9718c80d2adbf8581"/>
      <w:r>
        <w:rPr>
          <w:rFonts w:asciiTheme="majorHAnsi" w:hAnsiTheme="majorHAnsi"/>
          <w:b/>
          <w:bCs/>
        </w:rPr>
        <w:t xml:space="preserve">6. </w:t>
      </w:r>
      <w:r w:rsidR="00BA356F" w:rsidRPr="00EE694E">
        <w:rPr>
          <w:rFonts w:asciiTheme="majorHAnsi" w:hAnsiTheme="majorHAnsi"/>
          <w:b/>
          <w:bCs/>
        </w:rPr>
        <w:t>H</w:t>
      </w:r>
      <w:r>
        <w:rPr>
          <w:rFonts w:asciiTheme="majorHAnsi" w:hAnsiTheme="majorHAnsi"/>
          <w:b/>
          <w:bCs/>
        </w:rPr>
        <w:t>AVING AN INCLUSIVE RECRUITMENT PROCESS</w:t>
      </w:r>
      <w:bookmarkEnd w:id="6"/>
    </w:p>
    <w:p w14:paraId="06C72D1F" w14:textId="77777777" w:rsidR="00EE694E" w:rsidRPr="00EE694E" w:rsidRDefault="00EE694E" w:rsidP="00BA356F">
      <w:pPr>
        <w:pStyle w:val="NoSpacing"/>
        <w:rPr>
          <w:rFonts w:asciiTheme="majorHAnsi" w:hAnsiTheme="majorHAnsi"/>
          <w:b/>
          <w:bCs/>
        </w:rPr>
      </w:pPr>
    </w:p>
    <w:p w14:paraId="78B9D36E" w14:textId="05B37E25" w:rsidR="00BA356F" w:rsidRPr="00BA356F" w:rsidRDefault="00BA356F" w:rsidP="00BA356F">
      <w:pPr>
        <w:pStyle w:val="NoSpacing"/>
        <w:rPr>
          <w:rFonts w:asciiTheme="majorHAnsi" w:hAnsiTheme="majorHAnsi"/>
        </w:rPr>
      </w:pPr>
      <w:r w:rsidRPr="00BA356F">
        <w:rPr>
          <w:rFonts w:asciiTheme="majorHAnsi" w:hAnsiTheme="majorHAnsi"/>
        </w:rPr>
        <w:t xml:space="preserve">Your organisation’s approach to recruitment should focus on finding the best applicant for the role, regardless of whether they have undertaken gender reassignment or not. The Equality Act 2010 offers protection against </w:t>
      </w:r>
      <w:r w:rsidRPr="00EE694E">
        <w:rPr>
          <w:rFonts w:asciiTheme="majorHAnsi" w:hAnsiTheme="majorHAnsi"/>
        </w:rPr>
        <w:t>discrimination on the grounds of gender reassignment</w:t>
      </w:r>
      <w:r w:rsidRPr="00BA356F">
        <w:rPr>
          <w:rFonts w:asciiTheme="majorHAnsi" w:hAnsiTheme="majorHAnsi"/>
        </w:rPr>
        <w:t xml:space="preserve"> to job candidates and </w:t>
      </w:r>
      <w:proofErr w:type="gramStart"/>
      <w:r w:rsidRPr="00BA356F">
        <w:rPr>
          <w:rFonts w:asciiTheme="majorHAnsi" w:hAnsiTheme="majorHAnsi"/>
        </w:rPr>
        <w:t>applicants,</w:t>
      </w:r>
      <w:proofErr w:type="gramEnd"/>
      <w:r w:rsidRPr="00BA356F">
        <w:rPr>
          <w:rFonts w:asciiTheme="majorHAnsi" w:hAnsiTheme="majorHAnsi"/>
        </w:rPr>
        <w:t xml:space="preserve"> therefore, your organisation’s recruitment process should remain inclusive and diverse.</w:t>
      </w:r>
    </w:p>
    <w:p w14:paraId="24A82C2D" w14:textId="77777777" w:rsidR="00EE694E" w:rsidRDefault="00EE694E" w:rsidP="00BA356F">
      <w:pPr>
        <w:pStyle w:val="NoSpacing"/>
        <w:rPr>
          <w:rFonts w:asciiTheme="majorHAnsi" w:hAnsiTheme="majorHAnsi"/>
        </w:rPr>
      </w:pPr>
    </w:p>
    <w:p w14:paraId="0BF12E55" w14:textId="51FAFC26" w:rsidR="00BA356F" w:rsidRPr="00BA356F" w:rsidRDefault="00BA356F" w:rsidP="00BA356F">
      <w:pPr>
        <w:pStyle w:val="NoSpacing"/>
        <w:rPr>
          <w:rFonts w:asciiTheme="majorHAnsi" w:hAnsiTheme="majorHAnsi"/>
        </w:rPr>
      </w:pPr>
      <w:r w:rsidRPr="00BA356F">
        <w:rPr>
          <w:rFonts w:asciiTheme="majorHAnsi" w:hAnsiTheme="majorHAnsi"/>
        </w:rPr>
        <w:t>When carrying out a recruitment process, you can consider the following:</w:t>
      </w:r>
    </w:p>
    <w:p w14:paraId="36ACE49A" w14:textId="77777777" w:rsidR="00EE694E" w:rsidRDefault="00BA356F" w:rsidP="00BA356F">
      <w:pPr>
        <w:pStyle w:val="NoSpacing"/>
        <w:numPr>
          <w:ilvl w:val="0"/>
          <w:numId w:val="35"/>
        </w:numPr>
        <w:rPr>
          <w:rFonts w:asciiTheme="majorHAnsi" w:hAnsiTheme="majorHAnsi"/>
        </w:rPr>
      </w:pPr>
      <w:r w:rsidRPr="00BA356F">
        <w:rPr>
          <w:rFonts w:asciiTheme="majorHAnsi" w:hAnsiTheme="majorHAnsi"/>
        </w:rPr>
        <w:t>when writing recruitment documents such as the job advert, job description or person specification, you should make sure these are free from any gender specific language to avoid alienating those who do not identify with a specific gender. Instead, you can use gender neutral terms such as “you will” or “the employee will”, rather than “he or she will”</w:t>
      </w:r>
    </w:p>
    <w:p w14:paraId="671085BF" w14:textId="77777777" w:rsidR="00EE694E" w:rsidRDefault="00BA356F" w:rsidP="00BA356F">
      <w:pPr>
        <w:pStyle w:val="NoSpacing"/>
        <w:numPr>
          <w:ilvl w:val="0"/>
          <w:numId w:val="35"/>
        </w:numPr>
        <w:rPr>
          <w:rFonts w:asciiTheme="majorHAnsi" w:hAnsiTheme="majorHAnsi"/>
        </w:rPr>
      </w:pPr>
      <w:r w:rsidRPr="00EE694E">
        <w:rPr>
          <w:rFonts w:asciiTheme="majorHAnsi" w:hAnsiTheme="majorHAnsi"/>
        </w:rPr>
        <w:t>application forms may not need to classify the individual’s title or gender as required information, however where they do, they should include the option for an individual to select “prefer not to say”</w:t>
      </w:r>
    </w:p>
    <w:p w14:paraId="3D47ED13" w14:textId="77777777" w:rsidR="00EE694E" w:rsidRDefault="00BA356F" w:rsidP="00BA356F">
      <w:pPr>
        <w:pStyle w:val="NoSpacing"/>
        <w:numPr>
          <w:ilvl w:val="0"/>
          <w:numId w:val="35"/>
        </w:numPr>
        <w:rPr>
          <w:rFonts w:asciiTheme="majorHAnsi" w:hAnsiTheme="majorHAnsi"/>
        </w:rPr>
      </w:pPr>
      <w:r w:rsidRPr="00EE694E">
        <w:rPr>
          <w:rFonts w:asciiTheme="majorHAnsi" w:hAnsiTheme="majorHAnsi"/>
        </w:rPr>
        <w:t>when conducting interviews, you should take care to avoid assuming the individual’s gender matches their appearance. It will be best practice to ask all applicants how they would like to be addressed during the interview</w:t>
      </w:r>
    </w:p>
    <w:p w14:paraId="2B35440B" w14:textId="31665141" w:rsidR="00BA356F" w:rsidRPr="00EE694E" w:rsidRDefault="00BA356F" w:rsidP="00BA356F">
      <w:pPr>
        <w:pStyle w:val="NoSpacing"/>
        <w:numPr>
          <w:ilvl w:val="0"/>
          <w:numId w:val="35"/>
        </w:numPr>
        <w:rPr>
          <w:rFonts w:asciiTheme="majorHAnsi" w:hAnsiTheme="majorHAnsi"/>
        </w:rPr>
      </w:pPr>
      <w:r w:rsidRPr="00EE694E">
        <w:rPr>
          <w:rFonts w:asciiTheme="majorHAnsi" w:hAnsiTheme="majorHAnsi"/>
        </w:rPr>
        <w:t>where the individual reveals, at any time during the recruitment process, that they are undergoing, have undergone or propose to undergo gender reassignment, they should not be asked any invasive or discriminatory questions on this subject. Instead, they can be praised for their openness and any support offered by the organisation can be outlined. The process should then continue as normal, focusing on the role and not the individual’s gender reassignment.</w:t>
      </w:r>
    </w:p>
    <w:p w14:paraId="4F64A210" w14:textId="77777777" w:rsidR="00EE694E" w:rsidRDefault="00EE694E" w:rsidP="00BA356F">
      <w:pPr>
        <w:pStyle w:val="NoSpacing"/>
        <w:rPr>
          <w:rFonts w:asciiTheme="majorHAnsi" w:hAnsiTheme="majorHAnsi"/>
        </w:rPr>
      </w:pPr>
    </w:p>
    <w:p w14:paraId="35802BD2" w14:textId="0B5ED02A" w:rsidR="00BA356F" w:rsidRPr="00BA356F" w:rsidRDefault="00BA356F" w:rsidP="00BA356F">
      <w:pPr>
        <w:pStyle w:val="NoSpacing"/>
        <w:rPr>
          <w:rFonts w:asciiTheme="majorHAnsi" w:hAnsiTheme="majorHAnsi"/>
        </w:rPr>
      </w:pPr>
      <w:r w:rsidRPr="00BA356F">
        <w:rPr>
          <w:rFonts w:asciiTheme="majorHAnsi" w:hAnsiTheme="majorHAnsi"/>
        </w:rPr>
        <w:t>Ultimately, recruitment decisions made by your organisation should be based on objective criteria necessary for the role, such as skills, experience and qualifications.</w:t>
      </w:r>
    </w:p>
    <w:p w14:paraId="36642246" w14:textId="77777777" w:rsidR="00EE694E" w:rsidRDefault="00EE694E" w:rsidP="00BA356F">
      <w:pPr>
        <w:pStyle w:val="NoSpacing"/>
        <w:rPr>
          <w:rFonts w:asciiTheme="majorHAnsi" w:hAnsiTheme="majorHAnsi"/>
        </w:rPr>
      </w:pPr>
      <w:bookmarkStart w:id="7" w:name="X41f5f041ed3451ef63c8587738b18b5b7177cdb"/>
    </w:p>
    <w:p w14:paraId="111DD841" w14:textId="3C741B74" w:rsidR="00BA356F" w:rsidRDefault="00EE694E" w:rsidP="00EE694E">
      <w:pPr>
        <w:pStyle w:val="NoSpacing"/>
        <w:shd w:val="clear" w:color="auto" w:fill="D9D9D9" w:themeFill="background1" w:themeFillShade="D9"/>
        <w:rPr>
          <w:rFonts w:asciiTheme="majorHAnsi" w:hAnsiTheme="majorHAnsi"/>
          <w:b/>
          <w:bCs/>
        </w:rPr>
      </w:pPr>
      <w:r>
        <w:rPr>
          <w:rFonts w:asciiTheme="majorHAnsi" w:hAnsiTheme="majorHAnsi"/>
          <w:b/>
          <w:bCs/>
        </w:rPr>
        <w:t xml:space="preserve">7. </w:t>
      </w:r>
      <w:r w:rsidR="00BA356F" w:rsidRPr="00EE694E">
        <w:rPr>
          <w:rFonts w:asciiTheme="majorHAnsi" w:hAnsiTheme="majorHAnsi"/>
          <w:b/>
          <w:bCs/>
        </w:rPr>
        <w:t>P</w:t>
      </w:r>
      <w:r>
        <w:rPr>
          <w:rFonts w:asciiTheme="majorHAnsi" w:hAnsiTheme="majorHAnsi"/>
          <w:b/>
          <w:bCs/>
        </w:rPr>
        <w:t>ROVIDING CHANGING AND TOILET FACILITIES</w:t>
      </w:r>
      <w:bookmarkEnd w:id="7"/>
    </w:p>
    <w:p w14:paraId="466F8C33" w14:textId="77777777" w:rsidR="00EE694E" w:rsidRPr="00EE694E" w:rsidRDefault="00EE694E" w:rsidP="00BA356F">
      <w:pPr>
        <w:pStyle w:val="NoSpacing"/>
        <w:rPr>
          <w:rFonts w:asciiTheme="majorHAnsi" w:hAnsiTheme="majorHAnsi"/>
          <w:b/>
          <w:bCs/>
        </w:rPr>
      </w:pPr>
    </w:p>
    <w:p w14:paraId="40FDFB99" w14:textId="77777777" w:rsidR="00BA356F" w:rsidRPr="00BA356F" w:rsidRDefault="00BA356F" w:rsidP="00BA356F">
      <w:pPr>
        <w:pStyle w:val="NoSpacing"/>
        <w:rPr>
          <w:rFonts w:asciiTheme="majorHAnsi" w:hAnsiTheme="majorHAnsi"/>
        </w:rPr>
      </w:pPr>
      <w:r w:rsidRPr="00BA356F">
        <w:rPr>
          <w:rFonts w:asciiTheme="majorHAnsi" w:hAnsiTheme="majorHAnsi"/>
        </w:rPr>
        <w:t>The ruling by the Supreme Court decision in For Women Scotland Ltd v The Scottish Ministers, handed down on 16 April 2025, has an impact on access to single-sex spaces for transgender people, in that it clarifies that the definition of “sex” “man” and “woman” under the Equality Act 2010 refers to biological sex.</w:t>
      </w:r>
    </w:p>
    <w:p w14:paraId="6D491AC1" w14:textId="77777777" w:rsidR="00EE694E" w:rsidRDefault="00EE694E" w:rsidP="00BA356F">
      <w:pPr>
        <w:pStyle w:val="NoSpacing"/>
        <w:rPr>
          <w:rFonts w:asciiTheme="majorHAnsi" w:hAnsiTheme="majorHAnsi"/>
        </w:rPr>
      </w:pPr>
    </w:p>
    <w:p w14:paraId="6AA9E915" w14:textId="654398C8" w:rsidR="00BA356F" w:rsidRPr="00BA356F" w:rsidRDefault="00BA356F" w:rsidP="00BA356F">
      <w:pPr>
        <w:pStyle w:val="NoSpacing"/>
        <w:rPr>
          <w:rFonts w:asciiTheme="majorHAnsi" w:hAnsiTheme="majorHAnsi"/>
        </w:rPr>
      </w:pPr>
      <w:r w:rsidRPr="00BA356F">
        <w:rPr>
          <w:rFonts w:asciiTheme="majorHAnsi" w:hAnsiTheme="majorHAnsi"/>
        </w:rPr>
        <w:t>Following this decision, the Equality and Human Rights Commission (EHRC) is reviewing its statutory and non-statutory guidance on the Equality Act.</w:t>
      </w:r>
    </w:p>
    <w:p w14:paraId="5A5E4FF0" w14:textId="77777777" w:rsidR="00EE694E" w:rsidRDefault="00EE694E" w:rsidP="00BA356F">
      <w:pPr>
        <w:pStyle w:val="NoSpacing"/>
        <w:rPr>
          <w:rFonts w:asciiTheme="majorHAnsi" w:hAnsiTheme="majorHAnsi"/>
        </w:rPr>
      </w:pPr>
    </w:p>
    <w:p w14:paraId="135FB5EE" w14:textId="28943FBF" w:rsidR="00BA356F" w:rsidRPr="00BA356F" w:rsidRDefault="00BA356F" w:rsidP="00BA356F">
      <w:pPr>
        <w:pStyle w:val="NoSpacing"/>
        <w:rPr>
          <w:rFonts w:asciiTheme="majorHAnsi" w:hAnsiTheme="majorHAnsi"/>
        </w:rPr>
      </w:pPr>
      <w:r w:rsidRPr="00BA356F">
        <w:rPr>
          <w:rFonts w:asciiTheme="majorHAnsi" w:hAnsiTheme="majorHAnsi"/>
        </w:rPr>
        <w:t>On April 25</w:t>
      </w:r>
      <w:proofErr w:type="gramStart"/>
      <w:r w:rsidRPr="00BA356F">
        <w:rPr>
          <w:rFonts w:asciiTheme="majorHAnsi" w:hAnsiTheme="majorHAnsi"/>
        </w:rPr>
        <w:t xml:space="preserve"> 2025</w:t>
      </w:r>
      <w:proofErr w:type="gramEnd"/>
      <w:r w:rsidRPr="00BA356F">
        <w:rPr>
          <w:rFonts w:asciiTheme="majorHAnsi" w:hAnsiTheme="majorHAnsi"/>
        </w:rPr>
        <w:t>, the EHRC published an interim update on the practical implications of the ruling. This outlines that it is compulsory to provide sufficient single-sex toilets in workplaces, as well as “…sufficient single-sex changing and washing facilities where these facilities are needed.”</w:t>
      </w:r>
    </w:p>
    <w:p w14:paraId="402BF258" w14:textId="77777777" w:rsidR="00EE694E" w:rsidRDefault="00EE694E" w:rsidP="00BA356F">
      <w:pPr>
        <w:pStyle w:val="NoSpacing"/>
        <w:rPr>
          <w:rFonts w:asciiTheme="majorHAnsi" w:hAnsiTheme="majorHAnsi"/>
        </w:rPr>
      </w:pPr>
    </w:p>
    <w:p w14:paraId="59D32322" w14:textId="6F2D83F3" w:rsidR="00BA356F" w:rsidRPr="00BA356F" w:rsidRDefault="00BA356F" w:rsidP="00BA356F">
      <w:pPr>
        <w:pStyle w:val="NoSpacing"/>
        <w:rPr>
          <w:rFonts w:asciiTheme="majorHAnsi" w:hAnsiTheme="majorHAnsi"/>
        </w:rPr>
      </w:pPr>
      <w:r w:rsidRPr="00BA356F">
        <w:rPr>
          <w:rFonts w:asciiTheme="majorHAnsi" w:hAnsiTheme="majorHAnsi"/>
        </w:rPr>
        <w:t>In relation to workplaces and services that are open to the public, the interim update states:</w:t>
      </w:r>
    </w:p>
    <w:p w14:paraId="7E77C674" w14:textId="77777777" w:rsidR="00EE694E" w:rsidRDefault="00BA356F" w:rsidP="00BA356F">
      <w:pPr>
        <w:pStyle w:val="NoSpacing"/>
        <w:numPr>
          <w:ilvl w:val="0"/>
          <w:numId w:val="36"/>
        </w:numPr>
        <w:rPr>
          <w:rFonts w:asciiTheme="majorHAnsi" w:hAnsiTheme="majorHAnsi"/>
        </w:rPr>
      </w:pPr>
      <w:r w:rsidRPr="00BA356F">
        <w:rPr>
          <w:rFonts w:asciiTheme="majorHAnsi" w:hAnsiTheme="majorHAnsi"/>
        </w:rPr>
        <w:t>“</w:t>
      </w:r>
      <w:proofErr w:type="gramStart"/>
      <w:r w:rsidRPr="00BA356F">
        <w:rPr>
          <w:rFonts w:asciiTheme="majorHAnsi" w:hAnsiTheme="majorHAnsi"/>
        </w:rPr>
        <w:t>trans</w:t>
      </w:r>
      <w:proofErr w:type="gramEnd"/>
      <w:r w:rsidRPr="00BA356F">
        <w:rPr>
          <w:rFonts w:asciiTheme="majorHAnsi" w:hAnsiTheme="majorHAnsi"/>
        </w:rPr>
        <w:t xml:space="preserve"> women (biological men) should not be permitted to use the women’s facilities and trans men (biological women) should not be permitted to use the men’s facilities, as this will mean that they are no longer single-sex facilities and must be open to all users of the opposite sex</w:t>
      </w:r>
    </w:p>
    <w:p w14:paraId="1EE63131" w14:textId="05468C0F" w:rsidR="00BA356F" w:rsidRPr="00EE694E" w:rsidRDefault="00BA356F" w:rsidP="00BA356F">
      <w:pPr>
        <w:pStyle w:val="NoSpacing"/>
        <w:numPr>
          <w:ilvl w:val="0"/>
          <w:numId w:val="36"/>
        </w:numPr>
        <w:rPr>
          <w:rFonts w:asciiTheme="majorHAnsi" w:hAnsiTheme="majorHAnsi"/>
        </w:rPr>
      </w:pPr>
      <w:r w:rsidRPr="00EE694E">
        <w:rPr>
          <w:rFonts w:asciiTheme="majorHAnsi" w:hAnsiTheme="majorHAnsi"/>
        </w:rPr>
        <w:t>in some circumstances the law also allows trans women (biological men) not to be permitted to use the men’s facilities, and trans men (biological woman) not to be permitted to use the women’s facilities.”</w:t>
      </w:r>
    </w:p>
    <w:p w14:paraId="6C694062" w14:textId="77777777" w:rsidR="00EE694E" w:rsidRDefault="00EE694E" w:rsidP="00BA356F">
      <w:pPr>
        <w:pStyle w:val="NoSpacing"/>
        <w:rPr>
          <w:rFonts w:asciiTheme="majorHAnsi" w:hAnsiTheme="majorHAnsi"/>
        </w:rPr>
      </w:pPr>
    </w:p>
    <w:p w14:paraId="7FF9E1A4" w14:textId="54055A62" w:rsidR="00BA356F" w:rsidRPr="00BA356F" w:rsidRDefault="00BA356F" w:rsidP="00BA356F">
      <w:pPr>
        <w:pStyle w:val="NoSpacing"/>
        <w:rPr>
          <w:rFonts w:asciiTheme="majorHAnsi" w:hAnsiTheme="majorHAnsi"/>
        </w:rPr>
      </w:pPr>
      <w:r w:rsidRPr="00BA356F">
        <w:rPr>
          <w:rFonts w:asciiTheme="majorHAnsi" w:hAnsiTheme="majorHAnsi"/>
        </w:rPr>
        <w:t>Clarity on the meaning of this point from the EHRC is provided by paragraph 221 of the Supreme Court judgment, which says that “This might be considered proportionate where reasonable objection is taken to their presence, for example, because the gender reassignment process has given them a masculine appearance or attributes to which reasonable objection might be taken in the context of the women-only service being provided.”</w:t>
      </w:r>
    </w:p>
    <w:p w14:paraId="21CCF262" w14:textId="77777777" w:rsidR="00EE694E" w:rsidRDefault="00EE694E" w:rsidP="00BA356F">
      <w:pPr>
        <w:pStyle w:val="NoSpacing"/>
        <w:rPr>
          <w:rFonts w:asciiTheme="majorHAnsi" w:hAnsiTheme="majorHAnsi"/>
        </w:rPr>
      </w:pPr>
    </w:p>
    <w:p w14:paraId="30523D4D" w14:textId="1CD7E731" w:rsidR="00BA356F" w:rsidRPr="00BA356F" w:rsidRDefault="00BA356F" w:rsidP="00BA356F">
      <w:pPr>
        <w:pStyle w:val="NoSpacing"/>
        <w:rPr>
          <w:rFonts w:asciiTheme="majorHAnsi" w:hAnsiTheme="majorHAnsi"/>
        </w:rPr>
      </w:pPr>
      <w:r w:rsidRPr="00BA356F">
        <w:rPr>
          <w:rFonts w:asciiTheme="majorHAnsi" w:hAnsiTheme="majorHAnsi"/>
        </w:rPr>
        <w:t>The interim update continues:</w:t>
      </w:r>
    </w:p>
    <w:p w14:paraId="5E067C07" w14:textId="77777777" w:rsidR="00BA356F" w:rsidRPr="00BA356F" w:rsidRDefault="00BA356F" w:rsidP="00EE694E">
      <w:pPr>
        <w:pStyle w:val="NoSpacing"/>
        <w:numPr>
          <w:ilvl w:val="0"/>
          <w:numId w:val="37"/>
        </w:numPr>
        <w:rPr>
          <w:rFonts w:asciiTheme="majorHAnsi" w:hAnsiTheme="majorHAnsi"/>
        </w:rPr>
      </w:pPr>
      <w:r w:rsidRPr="00BA356F">
        <w:rPr>
          <w:rFonts w:asciiTheme="majorHAnsi" w:hAnsiTheme="majorHAnsi"/>
        </w:rPr>
        <w:t>“</w:t>
      </w:r>
      <w:proofErr w:type="gramStart"/>
      <w:r w:rsidRPr="00BA356F">
        <w:rPr>
          <w:rFonts w:asciiTheme="majorHAnsi" w:hAnsiTheme="majorHAnsi"/>
        </w:rPr>
        <w:t>however</w:t>
      </w:r>
      <w:proofErr w:type="gramEnd"/>
      <w:r w:rsidRPr="00BA356F">
        <w:rPr>
          <w:rFonts w:asciiTheme="majorHAnsi" w:hAnsiTheme="majorHAnsi"/>
        </w:rPr>
        <w:t xml:space="preserve"> where facilities are available to both men and women, trans people should not be put in a position where there are no facilities for them to use</w:t>
      </w:r>
    </w:p>
    <w:p w14:paraId="6A15B8FD" w14:textId="77777777" w:rsidR="00EE694E" w:rsidRDefault="00BA356F" w:rsidP="00BA356F">
      <w:pPr>
        <w:pStyle w:val="NoSpacing"/>
        <w:numPr>
          <w:ilvl w:val="0"/>
          <w:numId w:val="37"/>
        </w:numPr>
        <w:rPr>
          <w:rFonts w:asciiTheme="majorHAnsi" w:hAnsiTheme="majorHAnsi"/>
        </w:rPr>
      </w:pPr>
      <w:r w:rsidRPr="00BA356F">
        <w:rPr>
          <w:rFonts w:asciiTheme="majorHAnsi" w:hAnsiTheme="majorHAnsi"/>
        </w:rPr>
        <w:t>where possible, mixed-sex toilet, washing or changing facilities in addition to sufficient single-sex facilities should be provided</w:t>
      </w:r>
    </w:p>
    <w:p w14:paraId="208204AE" w14:textId="32F48817" w:rsidR="00BA356F" w:rsidRPr="00EE694E" w:rsidRDefault="00BA356F" w:rsidP="00BA356F">
      <w:pPr>
        <w:pStyle w:val="NoSpacing"/>
        <w:numPr>
          <w:ilvl w:val="0"/>
          <w:numId w:val="37"/>
        </w:numPr>
        <w:rPr>
          <w:rFonts w:asciiTheme="majorHAnsi" w:hAnsiTheme="majorHAnsi"/>
        </w:rPr>
      </w:pPr>
      <w:r w:rsidRPr="00EE694E">
        <w:rPr>
          <w:rFonts w:asciiTheme="majorHAnsi" w:hAnsiTheme="majorHAnsi"/>
        </w:rPr>
        <w:t>where toilet, washing or changing facilities are in lockable rooms (not cubicles) which are intended for the use of one person at a time, they can be used by either women or men”.</w:t>
      </w:r>
    </w:p>
    <w:p w14:paraId="23D06B23" w14:textId="77777777" w:rsidR="00EE694E" w:rsidRDefault="00EE694E" w:rsidP="00BA356F">
      <w:pPr>
        <w:pStyle w:val="NoSpacing"/>
        <w:rPr>
          <w:rFonts w:asciiTheme="majorHAnsi" w:hAnsiTheme="majorHAnsi"/>
        </w:rPr>
      </w:pPr>
    </w:p>
    <w:p w14:paraId="36FA4E3E" w14:textId="5E66AB8F" w:rsidR="00BA356F" w:rsidRPr="00BA356F" w:rsidRDefault="00BA356F" w:rsidP="00BA356F">
      <w:pPr>
        <w:pStyle w:val="NoSpacing"/>
        <w:rPr>
          <w:rFonts w:asciiTheme="majorHAnsi" w:hAnsiTheme="majorHAnsi"/>
        </w:rPr>
      </w:pPr>
      <w:r w:rsidRPr="00BA356F">
        <w:rPr>
          <w:rFonts w:asciiTheme="majorHAnsi" w:hAnsiTheme="majorHAnsi"/>
        </w:rPr>
        <w:t>We must now await the publication of the updated guidance for further clarity on the implications of this for employers.</w:t>
      </w:r>
    </w:p>
    <w:p w14:paraId="6F026122" w14:textId="77777777" w:rsidR="00EE694E" w:rsidRDefault="00EE694E" w:rsidP="00BA356F">
      <w:pPr>
        <w:pStyle w:val="NoSpacing"/>
        <w:rPr>
          <w:rFonts w:asciiTheme="majorHAnsi" w:hAnsiTheme="majorHAnsi"/>
        </w:rPr>
      </w:pPr>
      <w:bookmarkStart w:id="8" w:name="X3913d3867e4c704a593e67169b0ab12eaf54317"/>
    </w:p>
    <w:p w14:paraId="3B9881DB" w14:textId="455D8FA0" w:rsidR="00BA356F" w:rsidRPr="00EE694E" w:rsidRDefault="00EE694E" w:rsidP="00EE694E">
      <w:pPr>
        <w:pStyle w:val="NoSpacing"/>
        <w:shd w:val="clear" w:color="auto" w:fill="D9D9D9" w:themeFill="background1" w:themeFillShade="D9"/>
        <w:rPr>
          <w:rFonts w:asciiTheme="majorHAnsi" w:hAnsiTheme="majorHAnsi"/>
          <w:b/>
          <w:bCs/>
        </w:rPr>
      </w:pPr>
      <w:r>
        <w:rPr>
          <w:rFonts w:asciiTheme="majorHAnsi" w:hAnsiTheme="majorHAnsi"/>
          <w:b/>
          <w:bCs/>
        </w:rPr>
        <w:t xml:space="preserve">8. </w:t>
      </w:r>
      <w:r w:rsidR="00BA356F" w:rsidRPr="00EE694E">
        <w:rPr>
          <w:rFonts w:asciiTheme="majorHAnsi" w:hAnsiTheme="majorHAnsi"/>
          <w:b/>
          <w:bCs/>
        </w:rPr>
        <w:t>W</w:t>
      </w:r>
      <w:bookmarkEnd w:id="8"/>
      <w:r w:rsidR="00260B8C">
        <w:rPr>
          <w:rFonts w:asciiTheme="majorHAnsi" w:hAnsiTheme="majorHAnsi"/>
          <w:b/>
          <w:bCs/>
        </w:rPr>
        <w:t>ORKPLACE DRESS CODES</w:t>
      </w:r>
    </w:p>
    <w:p w14:paraId="60E6BFEC" w14:textId="77777777" w:rsidR="00EE694E" w:rsidRDefault="00EE694E" w:rsidP="00BA356F">
      <w:pPr>
        <w:pStyle w:val="NoSpacing"/>
        <w:rPr>
          <w:rFonts w:asciiTheme="majorHAnsi" w:hAnsiTheme="majorHAnsi"/>
        </w:rPr>
      </w:pPr>
    </w:p>
    <w:p w14:paraId="64BA8686" w14:textId="1CE38EB7" w:rsidR="00BA356F" w:rsidRPr="00BA356F" w:rsidRDefault="00BA356F" w:rsidP="00BA356F">
      <w:pPr>
        <w:pStyle w:val="NoSpacing"/>
        <w:rPr>
          <w:rFonts w:asciiTheme="majorHAnsi" w:hAnsiTheme="majorHAnsi"/>
        </w:rPr>
      </w:pPr>
      <w:r w:rsidRPr="00BA356F">
        <w:rPr>
          <w:rFonts w:asciiTheme="majorHAnsi" w:hAnsiTheme="majorHAnsi"/>
        </w:rPr>
        <w:t>Most organisations have a workplace dress code, usually to project a professional business image or for health and safety requirements.</w:t>
      </w:r>
    </w:p>
    <w:p w14:paraId="14AF4EB3" w14:textId="77777777" w:rsidR="00EE694E" w:rsidRDefault="00EE694E" w:rsidP="00BA356F">
      <w:pPr>
        <w:pStyle w:val="NoSpacing"/>
        <w:rPr>
          <w:rFonts w:asciiTheme="majorHAnsi" w:hAnsiTheme="majorHAnsi"/>
        </w:rPr>
      </w:pPr>
    </w:p>
    <w:p w14:paraId="62C7A5F5" w14:textId="0F5D987B" w:rsidR="00BA356F" w:rsidRPr="00BA356F" w:rsidRDefault="00BA356F" w:rsidP="00BA356F">
      <w:pPr>
        <w:pStyle w:val="NoSpacing"/>
        <w:rPr>
          <w:rFonts w:asciiTheme="majorHAnsi" w:hAnsiTheme="majorHAnsi"/>
        </w:rPr>
      </w:pPr>
      <w:r w:rsidRPr="00BA356F">
        <w:rPr>
          <w:rFonts w:asciiTheme="majorHAnsi" w:hAnsiTheme="majorHAnsi"/>
        </w:rPr>
        <w:t xml:space="preserve">Your organisation should implement the dress code flexibly to allow transgender staff the opportunity to amend and follow the dress code as per their gender identity. Any requirement to </w:t>
      </w:r>
      <w:r w:rsidRPr="00BA356F">
        <w:rPr>
          <w:rFonts w:asciiTheme="majorHAnsi" w:hAnsiTheme="majorHAnsi"/>
        </w:rPr>
        <w:lastRenderedPageBreak/>
        <w:t>wear staff uniforms, or branded clothes, should allow staff to select the appropriate uniform which matches their gender identity.</w:t>
      </w:r>
    </w:p>
    <w:p w14:paraId="329452CB" w14:textId="77777777" w:rsidR="00EE694E" w:rsidRDefault="00EE694E" w:rsidP="00BA356F">
      <w:pPr>
        <w:pStyle w:val="NoSpacing"/>
        <w:rPr>
          <w:rFonts w:asciiTheme="majorHAnsi" w:hAnsiTheme="majorHAnsi"/>
        </w:rPr>
      </w:pPr>
    </w:p>
    <w:p w14:paraId="20369BB2" w14:textId="246ADC5B" w:rsidR="00BA356F" w:rsidRPr="00BA356F" w:rsidRDefault="00BA356F" w:rsidP="00BA356F">
      <w:pPr>
        <w:pStyle w:val="NoSpacing"/>
        <w:rPr>
          <w:rFonts w:asciiTheme="majorHAnsi" w:hAnsiTheme="majorHAnsi"/>
        </w:rPr>
      </w:pPr>
      <w:r w:rsidRPr="00BA356F">
        <w:rPr>
          <w:rFonts w:asciiTheme="majorHAnsi" w:hAnsiTheme="majorHAnsi"/>
        </w:rPr>
        <w:t>Your organisation may decide to adapt your current dress code to provide gender-neutral appearance rules. This will usually require you to amend any gender-specific rules, such as all male employees are required to wear trousers.</w:t>
      </w:r>
    </w:p>
    <w:p w14:paraId="4C42B1B7" w14:textId="77777777" w:rsidR="00EE694E" w:rsidRDefault="00EE694E" w:rsidP="00BA356F">
      <w:pPr>
        <w:pStyle w:val="NoSpacing"/>
        <w:rPr>
          <w:rFonts w:asciiTheme="majorHAnsi" w:hAnsiTheme="majorHAnsi"/>
        </w:rPr>
      </w:pPr>
      <w:bookmarkStart w:id="9" w:name="X239c407a217a8c8081ec383f2d15b429b69bffe"/>
    </w:p>
    <w:p w14:paraId="69FFC085" w14:textId="4A3354F4" w:rsidR="00BA356F" w:rsidRPr="00EE694E" w:rsidRDefault="00EE694E" w:rsidP="00EE694E">
      <w:pPr>
        <w:pStyle w:val="NoSpacing"/>
        <w:shd w:val="clear" w:color="auto" w:fill="D9D9D9" w:themeFill="background1" w:themeFillShade="D9"/>
        <w:rPr>
          <w:rFonts w:asciiTheme="majorHAnsi" w:hAnsiTheme="majorHAnsi"/>
          <w:b/>
          <w:bCs/>
        </w:rPr>
      </w:pPr>
      <w:r w:rsidRPr="00EE694E">
        <w:rPr>
          <w:rFonts w:asciiTheme="majorHAnsi" w:hAnsiTheme="majorHAnsi"/>
          <w:b/>
          <w:bCs/>
        </w:rPr>
        <w:t xml:space="preserve">9. </w:t>
      </w:r>
      <w:r w:rsidR="00BA356F" w:rsidRPr="00EE694E">
        <w:rPr>
          <w:rFonts w:asciiTheme="majorHAnsi" w:hAnsiTheme="majorHAnsi"/>
          <w:b/>
          <w:bCs/>
        </w:rPr>
        <w:t>T</w:t>
      </w:r>
      <w:r>
        <w:rPr>
          <w:rFonts w:asciiTheme="majorHAnsi" w:hAnsiTheme="majorHAnsi"/>
          <w:b/>
          <w:bCs/>
        </w:rPr>
        <w:t xml:space="preserve">IME OFF WORK FOR GENDER REASSIGNMENT </w:t>
      </w:r>
      <w:bookmarkEnd w:id="9"/>
    </w:p>
    <w:p w14:paraId="26F44147" w14:textId="77777777" w:rsidR="00EE694E" w:rsidRDefault="00EE694E" w:rsidP="00BA356F">
      <w:pPr>
        <w:pStyle w:val="NoSpacing"/>
        <w:rPr>
          <w:rFonts w:asciiTheme="majorHAnsi" w:hAnsiTheme="majorHAnsi"/>
        </w:rPr>
      </w:pPr>
    </w:p>
    <w:p w14:paraId="1389ABC0" w14:textId="7E019F42" w:rsidR="00BA356F" w:rsidRPr="00BA356F" w:rsidRDefault="00BA356F" w:rsidP="00BA356F">
      <w:pPr>
        <w:pStyle w:val="NoSpacing"/>
        <w:rPr>
          <w:rFonts w:asciiTheme="majorHAnsi" w:hAnsiTheme="majorHAnsi"/>
        </w:rPr>
      </w:pPr>
      <w:r w:rsidRPr="00BA356F">
        <w:rPr>
          <w:rFonts w:asciiTheme="majorHAnsi" w:hAnsiTheme="majorHAnsi"/>
        </w:rPr>
        <w:t xml:space="preserve">Employees who are </w:t>
      </w:r>
      <w:r w:rsidRPr="00EE694E">
        <w:rPr>
          <w:rFonts w:asciiTheme="majorHAnsi" w:hAnsiTheme="majorHAnsi"/>
        </w:rPr>
        <w:t>absent from work because of gender reassignment</w:t>
      </w:r>
      <w:r w:rsidRPr="00BA356F">
        <w:rPr>
          <w:rFonts w:asciiTheme="majorHAnsi" w:hAnsiTheme="majorHAnsi"/>
        </w:rPr>
        <w:t xml:space="preserve"> are provided additional protection under the Equality Act 2010. It will be discriminatory for your organisation to treat an employee less favourably for taking time off for gender reassignment than they would treat an employee who is absent from work because of sickness or another reason. For example, where an employee tells you they need time off for gender reassignment, it is likely to be discriminatory to inform them that they can take time off</w:t>
      </w:r>
      <w:r w:rsidR="00EE694E">
        <w:rPr>
          <w:rFonts w:asciiTheme="majorHAnsi" w:hAnsiTheme="majorHAnsi"/>
        </w:rPr>
        <w:t>,</w:t>
      </w:r>
      <w:r w:rsidRPr="00BA356F">
        <w:rPr>
          <w:rFonts w:asciiTheme="majorHAnsi" w:hAnsiTheme="majorHAnsi"/>
        </w:rPr>
        <w:t xml:space="preserve"> but this will be unpaid.</w:t>
      </w:r>
    </w:p>
    <w:p w14:paraId="1B699B83" w14:textId="77777777" w:rsidR="00EE694E" w:rsidRDefault="00EE694E" w:rsidP="00BA356F">
      <w:pPr>
        <w:pStyle w:val="NoSpacing"/>
        <w:rPr>
          <w:rFonts w:asciiTheme="majorHAnsi" w:hAnsiTheme="majorHAnsi"/>
        </w:rPr>
      </w:pPr>
    </w:p>
    <w:p w14:paraId="238E9AC6" w14:textId="1F47AAA1" w:rsidR="00BA356F" w:rsidRPr="00BA356F" w:rsidRDefault="00BA356F" w:rsidP="00BA356F">
      <w:pPr>
        <w:pStyle w:val="NoSpacing"/>
        <w:rPr>
          <w:rFonts w:asciiTheme="majorHAnsi" w:hAnsiTheme="majorHAnsi"/>
        </w:rPr>
      </w:pPr>
      <w:r w:rsidRPr="00BA356F">
        <w:rPr>
          <w:rFonts w:asciiTheme="majorHAnsi" w:hAnsiTheme="majorHAnsi"/>
        </w:rPr>
        <w:t xml:space="preserve">Your organisation should meet with an employee who has requested time off because of gender reassignment to discuss how this will be accommodated. There is no set </w:t>
      </w:r>
      <w:proofErr w:type="gramStart"/>
      <w:r w:rsidRPr="00BA356F">
        <w:rPr>
          <w:rFonts w:asciiTheme="majorHAnsi" w:hAnsiTheme="majorHAnsi"/>
        </w:rPr>
        <w:t>period of time</w:t>
      </w:r>
      <w:proofErr w:type="gramEnd"/>
      <w:r w:rsidRPr="00BA356F">
        <w:rPr>
          <w:rFonts w:asciiTheme="majorHAnsi" w:hAnsiTheme="majorHAnsi"/>
        </w:rPr>
        <w:t xml:space="preserve"> contained in the legislation for this time off, so your organisation should treat this under their normal practices and procedures, as if the employee was sick or injured.</w:t>
      </w:r>
    </w:p>
    <w:p w14:paraId="661642B7" w14:textId="77777777" w:rsidR="00EE694E" w:rsidRDefault="00EE694E" w:rsidP="00BA356F">
      <w:pPr>
        <w:pStyle w:val="NoSpacing"/>
        <w:rPr>
          <w:rFonts w:asciiTheme="majorHAnsi" w:hAnsiTheme="majorHAnsi"/>
        </w:rPr>
      </w:pPr>
    </w:p>
    <w:p w14:paraId="30D47659" w14:textId="49BC5FA8" w:rsidR="00BA356F" w:rsidRDefault="00BA356F" w:rsidP="00BA356F">
      <w:pPr>
        <w:pStyle w:val="NoSpacing"/>
        <w:rPr>
          <w:rFonts w:asciiTheme="majorHAnsi" w:hAnsiTheme="majorHAnsi"/>
        </w:rPr>
      </w:pPr>
      <w:r w:rsidRPr="00BA356F">
        <w:rPr>
          <w:rFonts w:asciiTheme="majorHAnsi" w:hAnsiTheme="majorHAnsi"/>
        </w:rPr>
        <w:t>Following a request for time off work, your organisation will now be aware that the employee is undergoing gender reassignment. This information should not be disclosed to others, without the employee's prior agreement, to avoid breaching the employee’s right to privacy</w:t>
      </w:r>
      <w:r w:rsidR="00EE694E">
        <w:rPr>
          <w:rFonts w:asciiTheme="majorHAnsi" w:hAnsiTheme="majorHAnsi"/>
        </w:rPr>
        <w:t>.</w:t>
      </w:r>
    </w:p>
    <w:p w14:paraId="7450C8AA" w14:textId="77777777" w:rsidR="00EE694E" w:rsidRPr="00BA356F" w:rsidRDefault="00EE694E" w:rsidP="00BA356F">
      <w:pPr>
        <w:pStyle w:val="NoSpacing"/>
        <w:rPr>
          <w:rFonts w:asciiTheme="majorHAnsi" w:hAnsiTheme="majorHAnsi"/>
        </w:rPr>
      </w:pPr>
    </w:p>
    <w:p w14:paraId="61CCF4B2" w14:textId="13AE1B94" w:rsidR="00BA356F" w:rsidRPr="00EE694E" w:rsidRDefault="00EE694E" w:rsidP="00EE694E">
      <w:pPr>
        <w:pStyle w:val="NoSpacing"/>
        <w:shd w:val="clear" w:color="auto" w:fill="D9D9D9" w:themeFill="background1" w:themeFillShade="D9"/>
        <w:rPr>
          <w:rFonts w:asciiTheme="majorHAnsi" w:hAnsiTheme="majorHAnsi"/>
          <w:b/>
          <w:bCs/>
        </w:rPr>
      </w:pPr>
      <w:bookmarkStart w:id="10" w:name="Xc243fcfdf9a7b4256e0cc84290aa9f1126260c5"/>
      <w:r w:rsidRPr="00EE694E">
        <w:rPr>
          <w:rFonts w:asciiTheme="majorHAnsi" w:hAnsiTheme="majorHAnsi"/>
          <w:b/>
          <w:bCs/>
        </w:rPr>
        <w:t xml:space="preserve">10. </w:t>
      </w:r>
      <w:r w:rsidR="00BA356F" w:rsidRPr="00EE694E">
        <w:rPr>
          <w:rFonts w:asciiTheme="majorHAnsi" w:hAnsiTheme="majorHAnsi"/>
          <w:b/>
          <w:bCs/>
        </w:rPr>
        <w:t>C</w:t>
      </w:r>
      <w:r w:rsidRPr="00EE694E">
        <w:rPr>
          <w:rFonts w:asciiTheme="majorHAnsi" w:hAnsiTheme="majorHAnsi"/>
          <w:b/>
          <w:bCs/>
        </w:rPr>
        <w:t>ARRYING OUT FORMAL ACTION FOR ABSENCE LEVELS</w:t>
      </w:r>
      <w:bookmarkEnd w:id="10"/>
    </w:p>
    <w:p w14:paraId="4779644E" w14:textId="77777777" w:rsidR="00EE694E" w:rsidRDefault="00EE694E" w:rsidP="00BA356F">
      <w:pPr>
        <w:pStyle w:val="NoSpacing"/>
        <w:rPr>
          <w:rFonts w:asciiTheme="majorHAnsi" w:hAnsiTheme="majorHAnsi"/>
        </w:rPr>
      </w:pPr>
    </w:p>
    <w:p w14:paraId="0ED42BA1" w14:textId="1964B4D1" w:rsidR="00BA356F" w:rsidRPr="00BA356F" w:rsidRDefault="00BA356F" w:rsidP="00BA356F">
      <w:pPr>
        <w:pStyle w:val="NoSpacing"/>
        <w:rPr>
          <w:rFonts w:asciiTheme="majorHAnsi" w:hAnsiTheme="majorHAnsi"/>
        </w:rPr>
      </w:pPr>
      <w:r w:rsidRPr="00BA356F">
        <w:rPr>
          <w:rFonts w:asciiTheme="majorHAnsi" w:hAnsiTheme="majorHAnsi"/>
        </w:rPr>
        <w:t>When carrying out action under your organisation’s absence procedures, you should avoid including any time off work for gender reassignment when assessing whether an employee has reached the trigger point for formal action. This is likely to be classed as indirect discrimination on the grounds of gender reassignment and your organisation will need to have a sound business aim, and proportionate method of achieving this aim, to avoid acting unlawfully.</w:t>
      </w:r>
    </w:p>
    <w:p w14:paraId="3D2B8305" w14:textId="77777777" w:rsidR="00260B8C" w:rsidRDefault="00260B8C" w:rsidP="00BA356F">
      <w:pPr>
        <w:pStyle w:val="NoSpacing"/>
        <w:rPr>
          <w:rFonts w:asciiTheme="majorHAnsi" w:hAnsiTheme="majorHAnsi"/>
        </w:rPr>
      </w:pPr>
      <w:bookmarkStart w:id="11" w:name="X98aaa452fdf34260e110a522daebb3b8318de3d"/>
    </w:p>
    <w:p w14:paraId="6187DC12" w14:textId="77777777" w:rsidR="00260B8C" w:rsidRPr="00260B8C" w:rsidRDefault="00260B8C" w:rsidP="00260B8C">
      <w:pPr>
        <w:pStyle w:val="NoSpacing"/>
        <w:shd w:val="clear" w:color="auto" w:fill="D9D9D9" w:themeFill="background1" w:themeFillShade="D9"/>
        <w:rPr>
          <w:rFonts w:asciiTheme="majorHAnsi" w:hAnsiTheme="majorHAnsi"/>
          <w:b/>
          <w:bCs/>
        </w:rPr>
      </w:pPr>
      <w:r w:rsidRPr="00260B8C">
        <w:rPr>
          <w:rFonts w:asciiTheme="majorHAnsi" w:hAnsiTheme="majorHAnsi"/>
          <w:b/>
          <w:bCs/>
        </w:rPr>
        <w:t xml:space="preserve">11. </w:t>
      </w:r>
      <w:r w:rsidR="00BA356F" w:rsidRPr="00260B8C">
        <w:rPr>
          <w:rFonts w:asciiTheme="majorHAnsi" w:hAnsiTheme="majorHAnsi"/>
          <w:b/>
          <w:bCs/>
        </w:rPr>
        <w:t>P</w:t>
      </w:r>
      <w:r w:rsidRPr="00260B8C">
        <w:rPr>
          <w:rFonts w:asciiTheme="majorHAnsi" w:hAnsiTheme="majorHAnsi"/>
          <w:b/>
          <w:bCs/>
        </w:rPr>
        <w:t>REVENTING DISCRIMINATION AND HARASSMENT</w:t>
      </w:r>
    </w:p>
    <w:bookmarkEnd w:id="11"/>
    <w:p w14:paraId="43B23222" w14:textId="77777777" w:rsidR="00260B8C" w:rsidRDefault="00260B8C" w:rsidP="00BA356F">
      <w:pPr>
        <w:pStyle w:val="NoSpacing"/>
        <w:rPr>
          <w:rFonts w:asciiTheme="majorHAnsi" w:hAnsiTheme="majorHAnsi"/>
        </w:rPr>
      </w:pPr>
    </w:p>
    <w:p w14:paraId="4F2A5D85" w14:textId="341278D4" w:rsidR="00BA356F" w:rsidRPr="00BA356F" w:rsidRDefault="00BA356F" w:rsidP="00BA356F">
      <w:pPr>
        <w:pStyle w:val="NoSpacing"/>
        <w:rPr>
          <w:rFonts w:asciiTheme="majorHAnsi" w:hAnsiTheme="majorHAnsi"/>
        </w:rPr>
      </w:pPr>
      <w:r w:rsidRPr="00BA356F">
        <w:rPr>
          <w:rFonts w:asciiTheme="majorHAnsi" w:hAnsiTheme="majorHAnsi"/>
        </w:rPr>
        <w:t>Your organisation should take all reasonable steps to prevent discrimination and harassment occurring in the workplace. Implementing a clear, well-drafted equality, diversity and inclusion policy will be a good first step as this can set out your organisation’s stance on equality in the business.</w:t>
      </w:r>
    </w:p>
    <w:p w14:paraId="20523EB7" w14:textId="77777777" w:rsidR="00260B8C" w:rsidRDefault="00260B8C" w:rsidP="00BA356F">
      <w:pPr>
        <w:pStyle w:val="NoSpacing"/>
        <w:rPr>
          <w:rFonts w:asciiTheme="majorHAnsi" w:hAnsiTheme="majorHAnsi"/>
        </w:rPr>
      </w:pPr>
    </w:p>
    <w:p w14:paraId="27528B2A" w14:textId="263A2961" w:rsidR="00BA356F" w:rsidRPr="00BA356F" w:rsidRDefault="00BA356F" w:rsidP="00BA356F">
      <w:pPr>
        <w:pStyle w:val="NoSpacing"/>
        <w:rPr>
          <w:rFonts w:asciiTheme="majorHAnsi" w:hAnsiTheme="majorHAnsi"/>
        </w:rPr>
      </w:pPr>
      <w:r w:rsidRPr="00BA356F">
        <w:rPr>
          <w:rFonts w:asciiTheme="majorHAnsi" w:hAnsiTheme="majorHAnsi"/>
        </w:rPr>
        <w:t xml:space="preserve">You should also carry out discrimination and harassment training as part of wider EDI training aligned to organisational priorities for all members of staff. This could take place as part of the induction process at the start of employment but should be repeated periodically, with extra training provided following incidents of discrimination. Managers and senior employees can also receive additional training covering matters, such as making decisions without </w:t>
      </w:r>
      <w:proofErr w:type="gramStart"/>
      <w:r w:rsidRPr="00BA356F">
        <w:rPr>
          <w:rFonts w:asciiTheme="majorHAnsi" w:hAnsiTheme="majorHAnsi"/>
        </w:rPr>
        <w:t>taking into account</w:t>
      </w:r>
      <w:proofErr w:type="gramEnd"/>
      <w:r w:rsidRPr="00BA356F">
        <w:rPr>
          <w:rFonts w:asciiTheme="majorHAnsi" w:hAnsiTheme="majorHAnsi"/>
        </w:rPr>
        <w:t xml:space="preserve"> discriminatory factors, spotting incidents of discrimination and handling discrimination complaints.</w:t>
      </w:r>
    </w:p>
    <w:p w14:paraId="4830343E" w14:textId="77777777" w:rsidR="00260B8C" w:rsidRDefault="00260B8C" w:rsidP="00BA356F">
      <w:pPr>
        <w:pStyle w:val="NoSpacing"/>
        <w:rPr>
          <w:rFonts w:asciiTheme="majorHAnsi" w:hAnsiTheme="majorHAnsi"/>
        </w:rPr>
      </w:pPr>
    </w:p>
    <w:p w14:paraId="24B1878D" w14:textId="0E3CA91B" w:rsidR="00BA356F" w:rsidRPr="00BA356F" w:rsidRDefault="00BA356F" w:rsidP="00BA356F">
      <w:pPr>
        <w:pStyle w:val="NoSpacing"/>
        <w:rPr>
          <w:rFonts w:asciiTheme="majorHAnsi" w:hAnsiTheme="majorHAnsi"/>
        </w:rPr>
      </w:pPr>
      <w:r w:rsidRPr="00BA356F">
        <w:rPr>
          <w:rFonts w:asciiTheme="majorHAnsi" w:hAnsiTheme="majorHAnsi"/>
        </w:rPr>
        <w:lastRenderedPageBreak/>
        <w:t>A useful deterrent against discrimination and harassment taking place is to address all complaints seriously and formally. It is crucial that allegations are not ignored, or judged as unimportant, based on your perception of the behaviour. In harassment cases, it will be the perception of the individual alleging harassment which will determine whether harassment has occurred or not. Taking formal disciplinary action against those who have carried out discrimination or harassment will deter the employee concerned, and others in the workforce, from carrying out future unlawful acts.</w:t>
      </w:r>
    </w:p>
    <w:p w14:paraId="4E7809E7" w14:textId="77777777" w:rsidR="00260B8C" w:rsidRDefault="00260B8C" w:rsidP="00BA356F">
      <w:pPr>
        <w:pStyle w:val="NoSpacing"/>
        <w:rPr>
          <w:rFonts w:asciiTheme="majorHAnsi" w:hAnsiTheme="majorHAnsi"/>
        </w:rPr>
      </w:pPr>
    </w:p>
    <w:p w14:paraId="1850412A" w14:textId="247BC388" w:rsidR="00BA356F" w:rsidRDefault="00260B8C" w:rsidP="00260B8C">
      <w:pPr>
        <w:pStyle w:val="NoSpacing"/>
        <w:shd w:val="clear" w:color="auto" w:fill="D9D9D9" w:themeFill="background1" w:themeFillShade="D9"/>
        <w:rPr>
          <w:rFonts w:asciiTheme="majorHAnsi" w:hAnsiTheme="majorHAnsi"/>
          <w:b/>
          <w:bCs/>
        </w:rPr>
      </w:pPr>
      <w:bookmarkStart w:id="12" w:name="X119e153374d2154b48566588ccbe5e0b0abc677"/>
      <w:r>
        <w:rPr>
          <w:rFonts w:asciiTheme="majorHAnsi" w:hAnsiTheme="majorHAnsi"/>
          <w:b/>
          <w:bCs/>
        </w:rPr>
        <w:t xml:space="preserve">12. </w:t>
      </w:r>
      <w:r w:rsidR="00BA356F" w:rsidRPr="00260B8C">
        <w:rPr>
          <w:rFonts w:asciiTheme="majorHAnsi" w:hAnsiTheme="majorHAnsi"/>
          <w:b/>
          <w:bCs/>
        </w:rPr>
        <w:t>I</w:t>
      </w:r>
      <w:r>
        <w:rPr>
          <w:rFonts w:asciiTheme="majorHAnsi" w:hAnsiTheme="majorHAnsi"/>
          <w:b/>
          <w:bCs/>
        </w:rPr>
        <w:t xml:space="preserve">NTRODUCING A WORKPLACE POLICY </w:t>
      </w:r>
      <w:bookmarkEnd w:id="12"/>
    </w:p>
    <w:p w14:paraId="64EB799E" w14:textId="77777777" w:rsidR="00260B8C" w:rsidRPr="00260B8C" w:rsidRDefault="00260B8C" w:rsidP="00BA356F">
      <w:pPr>
        <w:pStyle w:val="NoSpacing"/>
        <w:rPr>
          <w:rFonts w:asciiTheme="majorHAnsi" w:hAnsiTheme="majorHAnsi"/>
          <w:b/>
          <w:bCs/>
        </w:rPr>
      </w:pPr>
    </w:p>
    <w:p w14:paraId="59E09AD5" w14:textId="77777777" w:rsidR="00BA356F" w:rsidRPr="00BA356F" w:rsidRDefault="00BA356F" w:rsidP="00BA356F">
      <w:pPr>
        <w:pStyle w:val="NoSpacing"/>
        <w:rPr>
          <w:rFonts w:asciiTheme="majorHAnsi" w:hAnsiTheme="majorHAnsi"/>
        </w:rPr>
      </w:pPr>
      <w:r w:rsidRPr="00BA356F">
        <w:rPr>
          <w:rFonts w:asciiTheme="majorHAnsi" w:hAnsiTheme="majorHAnsi"/>
        </w:rPr>
        <w:t xml:space="preserve">To reflect the diverse and inclusive nature of the business, your organisation may choose to introduce a specific gender reassignment policy. Alternatively, you can amend your organisation’s equality and diversity policy or equal opportunities policy to </w:t>
      </w:r>
      <w:proofErr w:type="gramStart"/>
      <w:r w:rsidRPr="00BA356F">
        <w:rPr>
          <w:rFonts w:asciiTheme="majorHAnsi" w:hAnsiTheme="majorHAnsi"/>
        </w:rPr>
        <w:t>make reference</w:t>
      </w:r>
      <w:proofErr w:type="gramEnd"/>
      <w:r w:rsidRPr="00BA356F">
        <w:rPr>
          <w:rFonts w:asciiTheme="majorHAnsi" w:hAnsiTheme="majorHAnsi"/>
        </w:rPr>
        <w:t xml:space="preserve"> to workplace rights, responsibilities and support for individuals who are undergoing, have undergone or are proposing to undergo gender reassignment.</w:t>
      </w:r>
    </w:p>
    <w:p w14:paraId="3DA1D94B" w14:textId="77777777" w:rsidR="00260B8C" w:rsidRDefault="00260B8C" w:rsidP="00BA356F">
      <w:pPr>
        <w:pStyle w:val="NoSpacing"/>
        <w:rPr>
          <w:rFonts w:asciiTheme="majorHAnsi" w:hAnsiTheme="majorHAnsi"/>
        </w:rPr>
      </w:pPr>
    </w:p>
    <w:p w14:paraId="18A0CE86" w14:textId="1264BC8B" w:rsidR="00BA356F" w:rsidRPr="00BA356F" w:rsidRDefault="00BA356F" w:rsidP="00BA356F">
      <w:pPr>
        <w:pStyle w:val="NoSpacing"/>
        <w:rPr>
          <w:rFonts w:asciiTheme="majorHAnsi" w:hAnsiTheme="majorHAnsi"/>
        </w:rPr>
      </w:pPr>
      <w:r w:rsidRPr="00BA356F">
        <w:rPr>
          <w:rFonts w:asciiTheme="majorHAnsi" w:hAnsiTheme="majorHAnsi"/>
        </w:rPr>
        <w:t>These policies can be used to clearly and transparently set out your organisation’s stance on:</w:t>
      </w:r>
    </w:p>
    <w:p w14:paraId="135A822B" w14:textId="77777777" w:rsidR="00260B8C" w:rsidRDefault="00BA356F" w:rsidP="00BA356F">
      <w:pPr>
        <w:pStyle w:val="NoSpacing"/>
        <w:numPr>
          <w:ilvl w:val="0"/>
          <w:numId w:val="38"/>
        </w:numPr>
        <w:rPr>
          <w:rFonts w:asciiTheme="majorHAnsi" w:hAnsiTheme="majorHAnsi"/>
        </w:rPr>
      </w:pPr>
      <w:r w:rsidRPr="00BA356F">
        <w:rPr>
          <w:rFonts w:asciiTheme="majorHAnsi" w:hAnsiTheme="majorHAnsi"/>
        </w:rPr>
        <w:t>time off work for gender reassignment</w:t>
      </w:r>
    </w:p>
    <w:p w14:paraId="6BF8D4D8" w14:textId="03C7642B" w:rsidR="00260B8C" w:rsidRDefault="00BA356F" w:rsidP="00BA356F">
      <w:pPr>
        <w:pStyle w:val="NoSpacing"/>
        <w:numPr>
          <w:ilvl w:val="0"/>
          <w:numId w:val="38"/>
        </w:numPr>
        <w:rPr>
          <w:rFonts w:asciiTheme="majorHAnsi" w:hAnsiTheme="majorHAnsi"/>
        </w:rPr>
      </w:pPr>
      <w:r w:rsidRPr="00260B8C">
        <w:rPr>
          <w:rFonts w:asciiTheme="majorHAnsi" w:hAnsiTheme="majorHAnsi"/>
        </w:rPr>
        <w:t>use of workplace facilities</w:t>
      </w:r>
    </w:p>
    <w:p w14:paraId="57917F24" w14:textId="77777777" w:rsidR="00260B8C" w:rsidRDefault="00BA356F" w:rsidP="00BA356F">
      <w:pPr>
        <w:pStyle w:val="NoSpacing"/>
        <w:numPr>
          <w:ilvl w:val="0"/>
          <w:numId w:val="38"/>
        </w:numPr>
        <w:rPr>
          <w:rFonts w:asciiTheme="majorHAnsi" w:hAnsiTheme="majorHAnsi"/>
        </w:rPr>
      </w:pPr>
      <w:r w:rsidRPr="00260B8C">
        <w:rPr>
          <w:rFonts w:asciiTheme="majorHAnsi" w:hAnsiTheme="majorHAnsi"/>
        </w:rPr>
        <w:t>application of workplace dress code</w:t>
      </w:r>
    </w:p>
    <w:p w14:paraId="6FF2F757" w14:textId="77777777" w:rsidR="00260B8C" w:rsidRDefault="00BA356F" w:rsidP="00BA356F">
      <w:pPr>
        <w:pStyle w:val="NoSpacing"/>
        <w:numPr>
          <w:ilvl w:val="0"/>
          <w:numId w:val="38"/>
        </w:numPr>
        <w:rPr>
          <w:rFonts w:asciiTheme="majorHAnsi" w:hAnsiTheme="majorHAnsi"/>
        </w:rPr>
      </w:pPr>
      <w:r w:rsidRPr="00260B8C">
        <w:rPr>
          <w:rFonts w:asciiTheme="majorHAnsi" w:hAnsiTheme="majorHAnsi"/>
        </w:rPr>
        <w:t>security passes and access</w:t>
      </w:r>
    </w:p>
    <w:p w14:paraId="63BE5024" w14:textId="77777777" w:rsidR="00260B8C" w:rsidRDefault="00BA356F" w:rsidP="00BA356F">
      <w:pPr>
        <w:pStyle w:val="NoSpacing"/>
        <w:numPr>
          <w:ilvl w:val="0"/>
          <w:numId w:val="38"/>
        </w:numPr>
        <w:rPr>
          <w:rFonts w:asciiTheme="majorHAnsi" w:hAnsiTheme="majorHAnsi"/>
        </w:rPr>
      </w:pPr>
      <w:r w:rsidRPr="00260B8C">
        <w:rPr>
          <w:rFonts w:asciiTheme="majorHAnsi" w:hAnsiTheme="majorHAnsi"/>
        </w:rPr>
        <w:t>communication of gender reassignment</w:t>
      </w:r>
    </w:p>
    <w:p w14:paraId="28CD139C" w14:textId="77777777" w:rsidR="00260B8C" w:rsidRDefault="00BA356F" w:rsidP="00BA356F">
      <w:pPr>
        <w:pStyle w:val="NoSpacing"/>
        <w:numPr>
          <w:ilvl w:val="0"/>
          <w:numId w:val="38"/>
        </w:numPr>
        <w:rPr>
          <w:rFonts w:asciiTheme="majorHAnsi" w:hAnsiTheme="majorHAnsi"/>
        </w:rPr>
      </w:pPr>
      <w:r w:rsidRPr="00260B8C">
        <w:rPr>
          <w:rFonts w:asciiTheme="majorHAnsi" w:hAnsiTheme="majorHAnsi"/>
        </w:rPr>
        <w:t>returning to work following completion of the transition process, and</w:t>
      </w:r>
    </w:p>
    <w:p w14:paraId="3BB49016" w14:textId="594AE201" w:rsidR="00BA356F" w:rsidRPr="00260B8C" w:rsidRDefault="00BA356F" w:rsidP="00BA356F">
      <w:pPr>
        <w:pStyle w:val="NoSpacing"/>
        <w:numPr>
          <w:ilvl w:val="0"/>
          <w:numId w:val="38"/>
        </w:numPr>
        <w:rPr>
          <w:rFonts w:asciiTheme="majorHAnsi" w:hAnsiTheme="majorHAnsi"/>
        </w:rPr>
      </w:pPr>
      <w:r w:rsidRPr="00260B8C">
        <w:rPr>
          <w:rFonts w:asciiTheme="majorHAnsi" w:hAnsiTheme="majorHAnsi"/>
        </w:rPr>
        <w:t>preventing discrimination and harassment.</w:t>
      </w:r>
    </w:p>
    <w:p w14:paraId="73CE1D52" w14:textId="77777777" w:rsidR="00260B8C" w:rsidRDefault="00260B8C" w:rsidP="00BA356F">
      <w:pPr>
        <w:pStyle w:val="NoSpacing"/>
        <w:rPr>
          <w:rFonts w:asciiTheme="majorHAnsi" w:hAnsiTheme="majorHAnsi"/>
        </w:rPr>
      </w:pPr>
      <w:bookmarkStart w:id="13" w:name="X6580bf83bb244bd8106b5a69fd4cb9c5c5812de"/>
    </w:p>
    <w:p w14:paraId="190869D8" w14:textId="26A5ECE0" w:rsidR="00BA356F" w:rsidRPr="00260B8C" w:rsidRDefault="00260B8C" w:rsidP="00260B8C">
      <w:pPr>
        <w:pStyle w:val="NoSpacing"/>
        <w:shd w:val="clear" w:color="auto" w:fill="D9D9D9" w:themeFill="background1" w:themeFillShade="D9"/>
        <w:rPr>
          <w:rFonts w:asciiTheme="majorHAnsi" w:hAnsiTheme="majorHAnsi"/>
          <w:b/>
          <w:bCs/>
        </w:rPr>
      </w:pPr>
      <w:r w:rsidRPr="00260B8C">
        <w:rPr>
          <w:rFonts w:asciiTheme="majorHAnsi" w:hAnsiTheme="majorHAnsi"/>
          <w:b/>
          <w:bCs/>
        </w:rPr>
        <w:t xml:space="preserve">13. </w:t>
      </w:r>
      <w:r w:rsidR="00BA356F" w:rsidRPr="00260B8C">
        <w:rPr>
          <w:rFonts w:asciiTheme="majorHAnsi" w:hAnsiTheme="majorHAnsi"/>
          <w:b/>
          <w:bCs/>
        </w:rPr>
        <w:t>P</w:t>
      </w:r>
      <w:r w:rsidRPr="00260B8C">
        <w:rPr>
          <w:rFonts w:asciiTheme="majorHAnsi" w:hAnsiTheme="majorHAnsi"/>
          <w:b/>
          <w:bCs/>
        </w:rPr>
        <w:t>ROVIDING WORKPLACE SUPPORT</w:t>
      </w:r>
      <w:bookmarkEnd w:id="13"/>
    </w:p>
    <w:p w14:paraId="4A3F3BB0" w14:textId="77777777" w:rsidR="00260B8C" w:rsidRDefault="00260B8C" w:rsidP="00BA356F">
      <w:pPr>
        <w:pStyle w:val="NoSpacing"/>
        <w:rPr>
          <w:rFonts w:asciiTheme="majorHAnsi" w:hAnsiTheme="majorHAnsi"/>
        </w:rPr>
      </w:pPr>
    </w:p>
    <w:p w14:paraId="72D152BD" w14:textId="467D269D" w:rsidR="00BA356F" w:rsidRPr="00BA356F" w:rsidRDefault="00BA356F" w:rsidP="00BA356F">
      <w:pPr>
        <w:pStyle w:val="NoSpacing"/>
        <w:rPr>
          <w:rFonts w:asciiTheme="majorHAnsi" w:hAnsiTheme="majorHAnsi"/>
        </w:rPr>
      </w:pPr>
      <w:r w:rsidRPr="00BA356F">
        <w:rPr>
          <w:rFonts w:asciiTheme="majorHAnsi" w:hAnsiTheme="majorHAnsi"/>
        </w:rPr>
        <w:t>Individuals who have undergone, are undergoing or are proposing to undergo gender reassignment may view this as a daunting transition, without the added pressure of how this will be viewed or treated in the workplace. There are many steps your organisation could take to provide workplace support for these individuals including, but not limited to:</w:t>
      </w:r>
    </w:p>
    <w:p w14:paraId="18667B6B" w14:textId="77777777" w:rsidR="00260B8C" w:rsidRDefault="00BA356F" w:rsidP="00BA356F">
      <w:pPr>
        <w:pStyle w:val="NoSpacing"/>
        <w:numPr>
          <w:ilvl w:val="0"/>
          <w:numId w:val="39"/>
        </w:numPr>
        <w:rPr>
          <w:rFonts w:asciiTheme="majorHAnsi" w:hAnsiTheme="majorHAnsi"/>
        </w:rPr>
      </w:pPr>
      <w:r w:rsidRPr="00BA356F">
        <w:rPr>
          <w:rFonts w:asciiTheme="majorHAnsi" w:hAnsiTheme="majorHAnsi"/>
        </w:rPr>
        <w:t>holding meetings with the individual to discuss whether they require ongoing support through their gender reassignment, whether any previous workplace support has had a positive impact and if they have any future concerns</w:t>
      </w:r>
    </w:p>
    <w:p w14:paraId="5E911314" w14:textId="77777777" w:rsidR="00260B8C" w:rsidRDefault="00BA356F" w:rsidP="00BA356F">
      <w:pPr>
        <w:pStyle w:val="NoSpacing"/>
        <w:numPr>
          <w:ilvl w:val="0"/>
          <w:numId w:val="39"/>
        </w:numPr>
        <w:rPr>
          <w:rFonts w:asciiTheme="majorHAnsi" w:hAnsiTheme="majorHAnsi"/>
        </w:rPr>
      </w:pPr>
      <w:r w:rsidRPr="00260B8C">
        <w:rPr>
          <w:rFonts w:asciiTheme="majorHAnsi" w:hAnsiTheme="majorHAnsi"/>
        </w:rPr>
        <w:t>seeking further advice from equality experts, relevant support charities or medical experts</w:t>
      </w:r>
    </w:p>
    <w:p w14:paraId="20FCCD36" w14:textId="77777777" w:rsidR="00260B8C" w:rsidRDefault="00BA356F" w:rsidP="00BA356F">
      <w:pPr>
        <w:pStyle w:val="NoSpacing"/>
        <w:numPr>
          <w:ilvl w:val="0"/>
          <w:numId w:val="39"/>
        </w:numPr>
        <w:rPr>
          <w:rFonts w:asciiTheme="majorHAnsi" w:hAnsiTheme="majorHAnsi"/>
        </w:rPr>
      </w:pPr>
      <w:r w:rsidRPr="00260B8C">
        <w:rPr>
          <w:rFonts w:asciiTheme="majorHAnsi" w:hAnsiTheme="majorHAnsi"/>
        </w:rPr>
        <w:t>understanding that no two individuals’ experiences are the same, especially those who are undergoing gender reassignment. Rather than making assumptions, try to agree with the employee what steps the organisation can take to provide them with support</w:t>
      </w:r>
    </w:p>
    <w:p w14:paraId="0C4E50A2" w14:textId="77777777" w:rsidR="00260B8C" w:rsidRDefault="00BA356F" w:rsidP="00BA356F">
      <w:pPr>
        <w:pStyle w:val="NoSpacing"/>
        <w:numPr>
          <w:ilvl w:val="0"/>
          <w:numId w:val="39"/>
        </w:numPr>
        <w:rPr>
          <w:rFonts w:asciiTheme="majorHAnsi" w:hAnsiTheme="majorHAnsi"/>
        </w:rPr>
      </w:pPr>
      <w:r w:rsidRPr="00260B8C">
        <w:rPr>
          <w:rFonts w:asciiTheme="majorHAnsi" w:hAnsiTheme="majorHAnsi"/>
        </w:rPr>
        <w:t>agreeing whether the individual wishes to have a short break before returning to work in their affirmed gender. Any administrative or security matters, such as email addresses, security passes or nameplates, should be amended prior to their return to work</w:t>
      </w:r>
    </w:p>
    <w:p w14:paraId="0760D19D" w14:textId="31CC7918" w:rsidR="00BA356F" w:rsidRPr="00260B8C" w:rsidRDefault="00BA356F" w:rsidP="00BA356F">
      <w:pPr>
        <w:pStyle w:val="NoSpacing"/>
        <w:numPr>
          <w:ilvl w:val="0"/>
          <w:numId w:val="39"/>
        </w:numPr>
        <w:rPr>
          <w:rFonts w:asciiTheme="majorHAnsi" w:hAnsiTheme="majorHAnsi"/>
        </w:rPr>
      </w:pPr>
      <w:r w:rsidRPr="00260B8C">
        <w:rPr>
          <w:rFonts w:asciiTheme="majorHAnsi" w:hAnsiTheme="majorHAnsi"/>
        </w:rPr>
        <w:t xml:space="preserve">agreeing any disclosure of information regarding the gender reassignment with the individual in advance. They should receive </w:t>
      </w:r>
      <w:proofErr w:type="gramStart"/>
      <w:r w:rsidRPr="00260B8C">
        <w:rPr>
          <w:rFonts w:asciiTheme="majorHAnsi" w:hAnsiTheme="majorHAnsi"/>
        </w:rPr>
        <w:t>prior warning</w:t>
      </w:r>
      <w:proofErr w:type="gramEnd"/>
      <w:r w:rsidRPr="00260B8C">
        <w:rPr>
          <w:rFonts w:asciiTheme="majorHAnsi" w:hAnsiTheme="majorHAnsi"/>
        </w:rPr>
        <w:t xml:space="preserve"> of any required disclosure.</w:t>
      </w:r>
    </w:p>
    <w:p w14:paraId="2BE5923F" w14:textId="77777777" w:rsidR="004A6DDE" w:rsidRPr="00BA356F" w:rsidRDefault="004A6DDE" w:rsidP="00BA356F">
      <w:pPr>
        <w:pStyle w:val="NoSpacing"/>
        <w:rPr>
          <w:rFonts w:asciiTheme="majorHAnsi" w:hAnsiTheme="majorHAnsi"/>
        </w:rPr>
      </w:pPr>
    </w:p>
    <w:sectPr w:rsidR="004A6DDE" w:rsidRPr="00BA356F" w:rsidSect="000849C2">
      <w:headerReference w:type="even" r:id="rId9"/>
      <w:headerReference w:type="default" r:id="rId10"/>
      <w:footerReference w:type="even" r:id="rId11"/>
      <w:footerReference w:type="default" r:id="rId12"/>
      <w:headerReference w:type="first" r:id="rId13"/>
      <w:footerReference w:type="first" r:id="rId14"/>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CEB" w14:textId="77777777" w:rsidR="0034185E" w:rsidRDefault="0034185E" w:rsidP="00C142FA">
      <w:r>
        <w:separator/>
      </w:r>
    </w:p>
  </w:endnote>
  <w:endnote w:type="continuationSeparator" w:id="0">
    <w:p w14:paraId="78F1EBE4" w14:textId="77777777" w:rsidR="0034185E" w:rsidRDefault="0034185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980" w14:textId="77777777" w:rsidR="0034185E" w:rsidRDefault="0034185E" w:rsidP="00C142FA">
      <w:r>
        <w:separator/>
      </w:r>
    </w:p>
  </w:footnote>
  <w:footnote w:type="continuationSeparator" w:id="0">
    <w:p w14:paraId="213AE8E1" w14:textId="77777777" w:rsidR="0034185E" w:rsidRDefault="0034185E"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E5EA7C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696D22"/>
    <w:multiLevelType w:val="hybridMultilevel"/>
    <w:tmpl w:val="BF20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B7E49"/>
    <w:multiLevelType w:val="hybridMultilevel"/>
    <w:tmpl w:val="FDFC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D3756"/>
    <w:multiLevelType w:val="hybridMultilevel"/>
    <w:tmpl w:val="2CE8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02DB0"/>
    <w:multiLevelType w:val="hybridMultilevel"/>
    <w:tmpl w:val="FA9C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708CB"/>
    <w:multiLevelType w:val="hybridMultilevel"/>
    <w:tmpl w:val="0BF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C1BF1"/>
    <w:multiLevelType w:val="hybridMultilevel"/>
    <w:tmpl w:val="59E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96600"/>
    <w:multiLevelType w:val="hybridMultilevel"/>
    <w:tmpl w:val="C4A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2"/>
  </w:num>
  <w:num w:numId="2" w16cid:durableId="1762993600">
    <w:abstractNumId w:val="34"/>
  </w:num>
  <w:num w:numId="3" w16cid:durableId="220944037">
    <w:abstractNumId w:val="22"/>
  </w:num>
  <w:num w:numId="4" w16cid:durableId="337974594">
    <w:abstractNumId w:val="15"/>
  </w:num>
  <w:num w:numId="5" w16cid:durableId="1586114452">
    <w:abstractNumId w:val="35"/>
  </w:num>
  <w:num w:numId="6" w16cid:durableId="2117210908">
    <w:abstractNumId w:val="17"/>
  </w:num>
  <w:num w:numId="7" w16cid:durableId="1742561638">
    <w:abstractNumId w:val="21"/>
  </w:num>
  <w:num w:numId="8" w16cid:durableId="568460222">
    <w:abstractNumId w:val="14"/>
  </w:num>
  <w:num w:numId="9" w16cid:durableId="794982932">
    <w:abstractNumId w:val="16"/>
  </w:num>
  <w:num w:numId="10" w16cid:durableId="636491029">
    <w:abstractNumId w:val="6"/>
  </w:num>
  <w:num w:numId="11" w16cid:durableId="1929921380">
    <w:abstractNumId w:val="4"/>
  </w:num>
  <w:num w:numId="12" w16cid:durableId="753092946">
    <w:abstractNumId w:val="37"/>
  </w:num>
  <w:num w:numId="13" w16cid:durableId="77364619">
    <w:abstractNumId w:val="7"/>
  </w:num>
  <w:num w:numId="14" w16cid:durableId="1428892173">
    <w:abstractNumId w:val="30"/>
  </w:num>
  <w:num w:numId="15" w16cid:durableId="487092253">
    <w:abstractNumId w:val="18"/>
  </w:num>
  <w:num w:numId="16" w16cid:durableId="1951669803">
    <w:abstractNumId w:val="10"/>
  </w:num>
  <w:num w:numId="17" w16cid:durableId="1023441657">
    <w:abstractNumId w:val="36"/>
  </w:num>
  <w:num w:numId="18" w16cid:durableId="1339504600">
    <w:abstractNumId w:val="5"/>
  </w:num>
  <w:num w:numId="19" w16cid:durableId="1433158952">
    <w:abstractNumId w:val="19"/>
  </w:num>
  <w:num w:numId="20" w16cid:durableId="1818719086">
    <w:abstractNumId w:val="11"/>
  </w:num>
  <w:num w:numId="21" w16cid:durableId="565579066">
    <w:abstractNumId w:val="8"/>
  </w:num>
  <w:num w:numId="22" w16cid:durableId="704796775">
    <w:abstractNumId w:val="13"/>
  </w:num>
  <w:num w:numId="23" w16cid:durableId="1217667893">
    <w:abstractNumId w:val="33"/>
  </w:num>
  <w:num w:numId="24" w16cid:durableId="195626743">
    <w:abstractNumId w:val="28"/>
  </w:num>
  <w:num w:numId="25" w16cid:durableId="473958028">
    <w:abstractNumId w:val="24"/>
  </w:num>
  <w:num w:numId="26" w16cid:durableId="1861890067">
    <w:abstractNumId w:val="3"/>
  </w:num>
  <w:num w:numId="27" w16cid:durableId="102699404">
    <w:abstractNumId w:val="2"/>
  </w:num>
  <w:num w:numId="28" w16cid:durableId="1380856248">
    <w:abstractNumId w:val="9"/>
  </w:num>
  <w:num w:numId="29" w16cid:durableId="2063868212">
    <w:abstractNumId w:val="38"/>
  </w:num>
  <w:num w:numId="30" w16cid:durableId="713432368">
    <w:abstractNumId w:val="31"/>
  </w:num>
  <w:num w:numId="31" w16cid:durableId="765004371">
    <w:abstractNumId w:val="20"/>
  </w:num>
  <w:num w:numId="32" w16cid:durableId="1059935306">
    <w:abstractNumId w:val="0"/>
  </w:num>
  <w:num w:numId="33" w16cid:durableId="1505507607">
    <w:abstractNumId w:val="29"/>
  </w:num>
  <w:num w:numId="34" w16cid:durableId="1064915815">
    <w:abstractNumId w:val="23"/>
  </w:num>
  <w:num w:numId="35" w16cid:durableId="1547138245">
    <w:abstractNumId w:val="32"/>
  </w:num>
  <w:num w:numId="36" w16cid:durableId="566378345">
    <w:abstractNumId w:val="26"/>
  </w:num>
  <w:num w:numId="37" w16cid:durableId="1081608081">
    <w:abstractNumId w:val="1"/>
  </w:num>
  <w:num w:numId="38" w16cid:durableId="665287073">
    <w:abstractNumId w:val="25"/>
  </w:num>
  <w:num w:numId="39" w16cid:durableId="209053470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849C2"/>
    <w:rsid w:val="00087C51"/>
    <w:rsid w:val="0009260E"/>
    <w:rsid w:val="000A462F"/>
    <w:rsid w:val="000B072D"/>
    <w:rsid w:val="000C5CD0"/>
    <w:rsid w:val="000D2CAE"/>
    <w:rsid w:val="000D4D4E"/>
    <w:rsid w:val="000E3E6C"/>
    <w:rsid w:val="000E651D"/>
    <w:rsid w:val="000F689D"/>
    <w:rsid w:val="00101C46"/>
    <w:rsid w:val="00104953"/>
    <w:rsid w:val="00120878"/>
    <w:rsid w:val="00121049"/>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60B8C"/>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3D79"/>
    <w:rsid w:val="003D4EEF"/>
    <w:rsid w:val="003D524E"/>
    <w:rsid w:val="003D7A56"/>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580B"/>
    <w:rsid w:val="00B40E8D"/>
    <w:rsid w:val="00B5030C"/>
    <w:rsid w:val="00B51884"/>
    <w:rsid w:val="00B53866"/>
    <w:rsid w:val="00B8252F"/>
    <w:rsid w:val="00BA18D8"/>
    <w:rsid w:val="00BA356F"/>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6272"/>
    <w:rsid w:val="00D06275"/>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238FA"/>
    <w:rsid w:val="00E23F2B"/>
    <w:rsid w:val="00E31CBB"/>
    <w:rsid w:val="00E34E1C"/>
    <w:rsid w:val="00E45E26"/>
    <w:rsid w:val="00E563BA"/>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EE694E"/>
    <w:rsid w:val="00F02854"/>
    <w:rsid w:val="00F06058"/>
    <w:rsid w:val="00F07BC3"/>
    <w:rsid w:val="00F1465E"/>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BA356F"/>
    <w:pPr>
      <w:spacing w:before="180" w:beforeAutospacing="0" w:after="180" w:afterAutospacing="0"/>
    </w:pPr>
    <w:rPr>
      <w:rFonts w:asciiTheme="minorHAnsi" w:eastAsiaTheme="minorHAnsi" w:hAnsiTheme="minorHAnsi" w:cstheme="minorBidi"/>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whats-new/supreme-court-rules-definition-sex-equality-act-2010?product=2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3104</Words>
  <Characters>17693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2</cp:revision>
  <cp:lastPrinted>2025-02-06T16:18:00Z</cp:lastPrinted>
  <dcterms:created xsi:type="dcterms:W3CDTF">2026-01-01T20:51:00Z</dcterms:created>
  <dcterms:modified xsi:type="dcterms:W3CDTF">2026-01-01T20:51:00Z</dcterms:modified>
</cp:coreProperties>
</file>