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F2BC" w14:textId="6541B912" w:rsidR="009C626D" w:rsidRDefault="00C44D5F" w:rsidP="004D68E5">
      <w:pPr>
        <w:rPr>
          <w:rFonts w:asciiTheme="majorHAnsi" w:hAnsiTheme="majorHAnsi"/>
          <w:b/>
          <w:bCs/>
        </w:rPr>
      </w:pPr>
      <w:r w:rsidRPr="004D68E5">
        <w:rPr>
          <w:rFonts w:asciiTheme="majorHAnsi" w:hAnsiTheme="majorHAnsi"/>
          <w:b/>
          <w:bCs/>
        </w:rPr>
        <w:t>HOW TO MANAGE CARRYING OVER ANNUAL LEAVE</w:t>
      </w:r>
    </w:p>
    <w:p w14:paraId="4D5EBD55" w14:textId="77777777" w:rsidR="003F367D" w:rsidRPr="004D68E5" w:rsidRDefault="003F367D" w:rsidP="004D68E5">
      <w:pPr>
        <w:rPr>
          <w:rFonts w:asciiTheme="majorHAnsi" w:hAnsiTheme="majorHAnsi"/>
          <w:b/>
          <w:bCs/>
        </w:rPr>
      </w:pPr>
    </w:p>
    <w:tbl>
      <w:tblPr>
        <w:tblStyle w:val="TableGrid"/>
        <w:tblW w:w="0" w:type="auto"/>
        <w:tblLook w:val="04A0" w:firstRow="1" w:lastRow="0" w:firstColumn="1" w:lastColumn="0" w:noHBand="0" w:noVBand="1"/>
      </w:tblPr>
      <w:tblGrid>
        <w:gridCol w:w="955"/>
        <w:gridCol w:w="8447"/>
      </w:tblGrid>
      <w:tr w:rsidR="00D83CFB" w:rsidRPr="004D68E5" w14:paraId="788703A2" w14:textId="77777777" w:rsidTr="00B7180E">
        <w:tc>
          <w:tcPr>
            <w:tcW w:w="955" w:type="dxa"/>
            <w:shd w:val="clear" w:color="auto" w:fill="D9D9D9" w:themeFill="background1" w:themeFillShade="D9"/>
          </w:tcPr>
          <w:p w14:paraId="303FEB37" w14:textId="7FA84F13" w:rsidR="00D83CFB" w:rsidRPr="004D68E5" w:rsidRDefault="00A43FD5" w:rsidP="004D68E5">
            <w:pPr>
              <w:rPr>
                <w:rFonts w:asciiTheme="majorHAnsi" w:hAnsiTheme="majorHAnsi"/>
                <w:highlight w:val="lightGray"/>
              </w:rPr>
            </w:pPr>
            <w:r w:rsidRPr="004D68E5">
              <w:rPr>
                <w:rFonts w:asciiTheme="majorHAnsi" w:hAnsiTheme="majorHAnsi"/>
                <w:highlight w:val="lightGray"/>
              </w:rPr>
              <w:t>Section</w:t>
            </w:r>
          </w:p>
        </w:tc>
        <w:tc>
          <w:tcPr>
            <w:tcW w:w="8447" w:type="dxa"/>
            <w:shd w:val="clear" w:color="auto" w:fill="D9D9D9" w:themeFill="background1" w:themeFillShade="D9"/>
          </w:tcPr>
          <w:p w14:paraId="1F2F66CA" w14:textId="77777777" w:rsidR="00D83CFB" w:rsidRPr="004D68E5" w:rsidRDefault="00D83CFB" w:rsidP="004D68E5">
            <w:pPr>
              <w:rPr>
                <w:rFonts w:asciiTheme="majorHAnsi" w:hAnsiTheme="majorHAnsi"/>
                <w:highlight w:val="lightGray"/>
              </w:rPr>
            </w:pPr>
          </w:p>
        </w:tc>
      </w:tr>
      <w:tr w:rsidR="00D83CFB" w:rsidRPr="004D68E5" w14:paraId="17B1A520" w14:textId="77777777" w:rsidTr="00B7180E">
        <w:tc>
          <w:tcPr>
            <w:tcW w:w="955" w:type="dxa"/>
          </w:tcPr>
          <w:p w14:paraId="6EA35D27" w14:textId="0F32958C" w:rsidR="00D83CFB" w:rsidRPr="004D68E5" w:rsidRDefault="00D83CFB" w:rsidP="004D68E5">
            <w:pPr>
              <w:rPr>
                <w:rFonts w:asciiTheme="majorHAnsi" w:hAnsiTheme="majorHAnsi"/>
              </w:rPr>
            </w:pPr>
            <w:r w:rsidRPr="004D68E5">
              <w:rPr>
                <w:rFonts w:asciiTheme="majorHAnsi" w:hAnsiTheme="majorHAnsi"/>
              </w:rPr>
              <w:t>1</w:t>
            </w:r>
          </w:p>
        </w:tc>
        <w:tc>
          <w:tcPr>
            <w:tcW w:w="8447" w:type="dxa"/>
          </w:tcPr>
          <w:p w14:paraId="0C399263" w14:textId="32B17FDB" w:rsidR="00D83CFB" w:rsidRPr="004D68E5" w:rsidRDefault="00815429" w:rsidP="004D68E5">
            <w:pPr>
              <w:rPr>
                <w:rFonts w:asciiTheme="majorHAnsi" w:hAnsiTheme="majorHAnsi"/>
              </w:rPr>
            </w:pPr>
            <w:r w:rsidRPr="004D68E5">
              <w:rPr>
                <w:rFonts w:asciiTheme="majorHAnsi" w:hAnsiTheme="majorHAnsi"/>
              </w:rPr>
              <w:t>Rights and entitlemen</w:t>
            </w:r>
            <w:r w:rsidR="00DB25D6" w:rsidRPr="004D68E5">
              <w:rPr>
                <w:rFonts w:asciiTheme="majorHAnsi" w:hAnsiTheme="majorHAnsi"/>
              </w:rPr>
              <w:t>ts to annual leave</w:t>
            </w:r>
          </w:p>
        </w:tc>
      </w:tr>
      <w:tr w:rsidR="00D83CFB" w:rsidRPr="004D68E5" w14:paraId="645254A8" w14:textId="77777777" w:rsidTr="00B7180E">
        <w:tc>
          <w:tcPr>
            <w:tcW w:w="955" w:type="dxa"/>
          </w:tcPr>
          <w:p w14:paraId="15188934" w14:textId="229FDCD3" w:rsidR="00D83CFB" w:rsidRPr="004D68E5" w:rsidRDefault="00D83CFB" w:rsidP="004D68E5">
            <w:pPr>
              <w:rPr>
                <w:rFonts w:asciiTheme="majorHAnsi" w:hAnsiTheme="majorHAnsi"/>
              </w:rPr>
            </w:pPr>
            <w:r w:rsidRPr="004D68E5">
              <w:rPr>
                <w:rFonts w:asciiTheme="majorHAnsi" w:hAnsiTheme="majorHAnsi"/>
              </w:rPr>
              <w:t>2</w:t>
            </w:r>
          </w:p>
        </w:tc>
        <w:tc>
          <w:tcPr>
            <w:tcW w:w="8447" w:type="dxa"/>
          </w:tcPr>
          <w:p w14:paraId="69545BCA" w14:textId="377A284E" w:rsidR="00D83CFB" w:rsidRPr="004D68E5" w:rsidRDefault="008D7C37" w:rsidP="004D68E5">
            <w:pPr>
              <w:rPr>
                <w:rFonts w:asciiTheme="majorHAnsi" w:hAnsiTheme="majorHAnsi"/>
              </w:rPr>
            </w:pPr>
            <w:r w:rsidRPr="004D68E5">
              <w:rPr>
                <w:rFonts w:asciiTheme="majorHAnsi" w:hAnsiTheme="majorHAnsi"/>
              </w:rPr>
              <w:t>Knowing your leave year</w:t>
            </w:r>
          </w:p>
        </w:tc>
      </w:tr>
      <w:tr w:rsidR="00D83CFB" w:rsidRPr="004D68E5" w14:paraId="60CC62BB" w14:textId="77777777" w:rsidTr="00B7180E">
        <w:tc>
          <w:tcPr>
            <w:tcW w:w="955" w:type="dxa"/>
          </w:tcPr>
          <w:p w14:paraId="4586B009" w14:textId="69E750A2" w:rsidR="00D83CFB" w:rsidRPr="004D68E5" w:rsidRDefault="00D83CFB" w:rsidP="004D68E5">
            <w:pPr>
              <w:rPr>
                <w:rFonts w:asciiTheme="majorHAnsi" w:hAnsiTheme="majorHAnsi"/>
              </w:rPr>
            </w:pPr>
            <w:r w:rsidRPr="004D68E5">
              <w:rPr>
                <w:rFonts w:asciiTheme="majorHAnsi" w:hAnsiTheme="majorHAnsi"/>
              </w:rPr>
              <w:t>3</w:t>
            </w:r>
          </w:p>
        </w:tc>
        <w:tc>
          <w:tcPr>
            <w:tcW w:w="8447" w:type="dxa"/>
          </w:tcPr>
          <w:p w14:paraId="5B1C1E89" w14:textId="4891745B" w:rsidR="00D83CFB" w:rsidRPr="004D68E5" w:rsidRDefault="000B298B" w:rsidP="004D68E5">
            <w:pPr>
              <w:rPr>
                <w:rFonts w:asciiTheme="majorHAnsi" w:hAnsiTheme="majorHAnsi"/>
              </w:rPr>
            </w:pPr>
            <w:r w:rsidRPr="004D68E5">
              <w:rPr>
                <w:rFonts w:asciiTheme="majorHAnsi" w:hAnsiTheme="majorHAnsi"/>
              </w:rPr>
              <w:t>Carry-over of annual leave after sickness/maternity leave</w:t>
            </w:r>
          </w:p>
        </w:tc>
      </w:tr>
      <w:tr w:rsidR="00D83CFB" w:rsidRPr="004D68E5" w14:paraId="5199EB0C" w14:textId="77777777" w:rsidTr="00B7180E">
        <w:tc>
          <w:tcPr>
            <w:tcW w:w="955" w:type="dxa"/>
          </w:tcPr>
          <w:p w14:paraId="1BF48E88" w14:textId="6A0D49B7" w:rsidR="00D83CFB" w:rsidRPr="004D68E5" w:rsidRDefault="00D83CFB" w:rsidP="004D68E5">
            <w:pPr>
              <w:rPr>
                <w:rFonts w:asciiTheme="majorHAnsi" w:hAnsiTheme="majorHAnsi"/>
              </w:rPr>
            </w:pPr>
            <w:r w:rsidRPr="004D68E5">
              <w:rPr>
                <w:rFonts w:asciiTheme="majorHAnsi" w:hAnsiTheme="majorHAnsi"/>
              </w:rPr>
              <w:t>4</w:t>
            </w:r>
          </w:p>
        </w:tc>
        <w:tc>
          <w:tcPr>
            <w:tcW w:w="8447" w:type="dxa"/>
          </w:tcPr>
          <w:p w14:paraId="100CAEC8" w14:textId="247234D9" w:rsidR="00D83CFB" w:rsidRPr="004D68E5" w:rsidRDefault="00CC3A36" w:rsidP="004D68E5">
            <w:pPr>
              <w:rPr>
                <w:rFonts w:asciiTheme="majorHAnsi" w:hAnsiTheme="majorHAnsi"/>
              </w:rPr>
            </w:pPr>
            <w:r w:rsidRPr="004D68E5">
              <w:rPr>
                <w:rFonts w:asciiTheme="majorHAnsi" w:hAnsiTheme="majorHAnsi"/>
              </w:rPr>
              <w:t>Encouraging staff to take leave</w:t>
            </w:r>
          </w:p>
        </w:tc>
      </w:tr>
      <w:tr w:rsidR="00D83CFB" w:rsidRPr="004D68E5" w14:paraId="29587E65" w14:textId="77777777" w:rsidTr="00B7180E">
        <w:tc>
          <w:tcPr>
            <w:tcW w:w="955" w:type="dxa"/>
          </w:tcPr>
          <w:p w14:paraId="18DB14A3" w14:textId="2CDA89D2" w:rsidR="00D83CFB" w:rsidRPr="004D68E5" w:rsidRDefault="00D83CFB" w:rsidP="004D68E5">
            <w:pPr>
              <w:rPr>
                <w:rFonts w:asciiTheme="majorHAnsi" w:hAnsiTheme="majorHAnsi"/>
              </w:rPr>
            </w:pPr>
            <w:r w:rsidRPr="004D68E5">
              <w:rPr>
                <w:rFonts w:asciiTheme="majorHAnsi" w:hAnsiTheme="majorHAnsi"/>
              </w:rPr>
              <w:t>5</w:t>
            </w:r>
          </w:p>
        </w:tc>
        <w:tc>
          <w:tcPr>
            <w:tcW w:w="8447" w:type="dxa"/>
          </w:tcPr>
          <w:p w14:paraId="27B36C8F" w14:textId="779D9034" w:rsidR="00D83CFB" w:rsidRPr="004D68E5" w:rsidRDefault="001B2F4D" w:rsidP="004D68E5">
            <w:pPr>
              <w:rPr>
                <w:rFonts w:asciiTheme="majorHAnsi" w:hAnsiTheme="majorHAnsi"/>
              </w:rPr>
            </w:pPr>
            <w:r w:rsidRPr="004D68E5">
              <w:rPr>
                <w:rFonts w:asciiTheme="majorHAnsi" w:hAnsiTheme="majorHAnsi"/>
              </w:rPr>
              <w:t>Enforcing the taking of leave</w:t>
            </w:r>
          </w:p>
        </w:tc>
      </w:tr>
      <w:tr w:rsidR="00D83CFB" w:rsidRPr="004D68E5" w14:paraId="25E28198" w14:textId="77777777" w:rsidTr="00B7180E">
        <w:tc>
          <w:tcPr>
            <w:tcW w:w="955" w:type="dxa"/>
          </w:tcPr>
          <w:p w14:paraId="1B1BE1F9" w14:textId="000F9C55" w:rsidR="00D83CFB" w:rsidRPr="004D68E5" w:rsidRDefault="00D83CFB" w:rsidP="004D68E5">
            <w:pPr>
              <w:rPr>
                <w:rFonts w:asciiTheme="majorHAnsi" w:hAnsiTheme="majorHAnsi"/>
              </w:rPr>
            </w:pPr>
            <w:r w:rsidRPr="004D68E5">
              <w:rPr>
                <w:rFonts w:asciiTheme="majorHAnsi" w:hAnsiTheme="majorHAnsi"/>
              </w:rPr>
              <w:t>6</w:t>
            </w:r>
          </w:p>
        </w:tc>
        <w:tc>
          <w:tcPr>
            <w:tcW w:w="8447" w:type="dxa"/>
          </w:tcPr>
          <w:p w14:paraId="17B8C176" w14:textId="152D4E45" w:rsidR="00D83CFB" w:rsidRPr="004D68E5" w:rsidRDefault="006E5084" w:rsidP="004D68E5">
            <w:pPr>
              <w:rPr>
                <w:rFonts w:asciiTheme="majorHAnsi" w:hAnsiTheme="majorHAnsi"/>
              </w:rPr>
            </w:pPr>
            <w:r w:rsidRPr="004D68E5">
              <w:rPr>
                <w:rFonts w:asciiTheme="majorHAnsi" w:hAnsiTheme="majorHAnsi"/>
              </w:rPr>
              <w:t>Managing carry-over</w:t>
            </w:r>
          </w:p>
        </w:tc>
      </w:tr>
      <w:tr w:rsidR="00D83CFB" w:rsidRPr="004D68E5" w14:paraId="7F8FDE79" w14:textId="77777777" w:rsidTr="00B7180E">
        <w:tc>
          <w:tcPr>
            <w:tcW w:w="955" w:type="dxa"/>
          </w:tcPr>
          <w:p w14:paraId="7D9260C2" w14:textId="71ED1AC7" w:rsidR="00D83CFB" w:rsidRPr="004D68E5" w:rsidRDefault="00D83CFB" w:rsidP="004D68E5">
            <w:pPr>
              <w:rPr>
                <w:rFonts w:asciiTheme="majorHAnsi" w:hAnsiTheme="majorHAnsi"/>
              </w:rPr>
            </w:pPr>
            <w:r w:rsidRPr="004D68E5">
              <w:rPr>
                <w:rFonts w:asciiTheme="majorHAnsi" w:hAnsiTheme="majorHAnsi"/>
              </w:rPr>
              <w:t>7</w:t>
            </w:r>
          </w:p>
        </w:tc>
        <w:tc>
          <w:tcPr>
            <w:tcW w:w="8447" w:type="dxa"/>
          </w:tcPr>
          <w:p w14:paraId="7396E9AF" w14:textId="6A98FAF1" w:rsidR="00D83CFB" w:rsidRPr="004D68E5" w:rsidRDefault="00034799" w:rsidP="004D68E5">
            <w:pPr>
              <w:rPr>
                <w:rFonts w:asciiTheme="majorHAnsi" w:hAnsiTheme="majorHAnsi"/>
              </w:rPr>
            </w:pPr>
            <w:r w:rsidRPr="004D68E5">
              <w:rPr>
                <w:rFonts w:asciiTheme="majorHAnsi" w:hAnsiTheme="majorHAnsi"/>
              </w:rPr>
              <w:t>Understanding holiday payments for leave carried over</w:t>
            </w:r>
          </w:p>
        </w:tc>
      </w:tr>
      <w:tr w:rsidR="00D83CFB" w:rsidRPr="004D68E5" w14:paraId="0D251671" w14:textId="77777777" w:rsidTr="00B7180E">
        <w:tc>
          <w:tcPr>
            <w:tcW w:w="955" w:type="dxa"/>
          </w:tcPr>
          <w:p w14:paraId="4D56CA8E" w14:textId="42B5E152" w:rsidR="00D83CFB" w:rsidRPr="004D68E5" w:rsidRDefault="00D83CFB" w:rsidP="004D68E5">
            <w:pPr>
              <w:rPr>
                <w:rFonts w:asciiTheme="majorHAnsi" w:hAnsiTheme="majorHAnsi"/>
              </w:rPr>
            </w:pPr>
            <w:r w:rsidRPr="004D68E5">
              <w:rPr>
                <w:rFonts w:asciiTheme="majorHAnsi" w:hAnsiTheme="majorHAnsi"/>
              </w:rPr>
              <w:t>8</w:t>
            </w:r>
          </w:p>
        </w:tc>
        <w:tc>
          <w:tcPr>
            <w:tcW w:w="8447" w:type="dxa"/>
          </w:tcPr>
          <w:p w14:paraId="15A59A81" w14:textId="4A3EF0D1" w:rsidR="00D83CFB" w:rsidRPr="004D68E5" w:rsidRDefault="00537C69" w:rsidP="004D68E5">
            <w:pPr>
              <w:rPr>
                <w:rFonts w:asciiTheme="majorHAnsi" w:hAnsiTheme="majorHAnsi"/>
              </w:rPr>
            </w:pPr>
            <w:r w:rsidRPr="004D68E5">
              <w:rPr>
                <w:rFonts w:asciiTheme="majorHAnsi" w:hAnsiTheme="majorHAnsi"/>
              </w:rPr>
              <w:t>Understanding how the carry over impacts on pay in lieu</w:t>
            </w:r>
          </w:p>
        </w:tc>
      </w:tr>
    </w:tbl>
    <w:p w14:paraId="1CF42510" w14:textId="77777777" w:rsidR="009C626D" w:rsidRPr="004D68E5" w:rsidRDefault="009C626D" w:rsidP="004D68E5">
      <w:pPr>
        <w:rPr>
          <w:rFonts w:asciiTheme="majorHAnsi" w:hAnsiTheme="majorHAnsi"/>
        </w:rPr>
      </w:pPr>
    </w:p>
    <w:p w14:paraId="2565019A" w14:textId="051C3784" w:rsidR="00133A6B" w:rsidRPr="004D68E5" w:rsidRDefault="00F56289" w:rsidP="004D68E5">
      <w:pPr>
        <w:shd w:val="clear" w:color="auto" w:fill="D9D9D9" w:themeFill="background1" w:themeFillShade="D9"/>
        <w:rPr>
          <w:rFonts w:asciiTheme="majorHAnsi" w:hAnsiTheme="majorHAnsi"/>
          <w:b/>
          <w:bCs/>
        </w:rPr>
      </w:pPr>
      <w:r w:rsidRPr="004D68E5">
        <w:rPr>
          <w:rFonts w:asciiTheme="majorHAnsi" w:hAnsiTheme="majorHAnsi"/>
          <w:b/>
          <w:bCs/>
        </w:rPr>
        <w:t>1.</w:t>
      </w:r>
      <w:r w:rsidR="004664AE" w:rsidRPr="004D68E5">
        <w:rPr>
          <w:rFonts w:asciiTheme="majorHAnsi" w:hAnsiTheme="majorHAnsi"/>
          <w:b/>
          <w:bCs/>
        </w:rPr>
        <w:t xml:space="preserve"> </w:t>
      </w:r>
      <w:r w:rsidR="0033042E" w:rsidRPr="004D68E5">
        <w:rPr>
          <w:rFonts w:asciiTheme="majorHAnsi" w:hAnsiTheme="majorHAnsi"/>
          <w:b/>
          <w:bCs/>
        </w:rPr>
        <w:t xml:space="preserve">RIGHTS AND </w:t>
      </w:r>
      <w:r w:rsidR="00DE590F" w:rsidRPr="004D68E5">
        <w:rPr>
          <w:rFonts w:asciiTheme="majorHAnsi" w:hAnsiTheme="majorHAnsi"/>
          <w:b/>
          <w:bCs/>
        </w:rPr>
        <w:t xml:space="preserve">ENTITLEMENTS TO ANNUAL LEAVE </w:t>
      </w:r>
    </w:p>
    <w:p w14:paraId="7EB7CEA0" w14:textId="77777777" w:rsidR="00C10CDD" w:rsidRDefault="00C10CDD" w:rsidP="004D68E5">
      <w:pPr>
        <w:rPr>
          <w:rFonts w:asciiTheme="majorHAnsi" w:hAnsiTheme="majorHAnsi"/>
        </w:rPr>
      </w:pPr>
    </w:p>
    <w:p w14:paraId="01B3FE40" w14:textId="62F8D2B1" w:rsidR="00E6102E" w:rsidRDefault="00E6102E" w:rsidP="004D68E5">
      <w:pPr>
        <w:rPr>
          <w:rFonts w:asciiTheme="majorHAnsi" w:hAnsiTheme="majorHAnsi"/>
        </w:rPr>
      </w:pPr>
      <w:r w:rsidRPr="004D68E5">
        <w:rPr>
          <w:rFonts w:asciiTheme="majorHAnsi" w:hAnsiTheme="majorHAnsi"/>
        </w:rPr>
        <w:t>In the UK, all employees and workers are entitled to a minimum of 5.6 weeks of paid annual leave in each year, pro-rated for part-year workers. Whilst you can provide additional leave through contract if you choose to, you must not go below the statutory minimum specified.</w:t>
      </w:r>
    </w:p>
    <w:p w14:paraId="0A471B24" w14:textId="77777777" w:rsidR="003E0626" w:rsidRPr="004D68E5" w:rsidRDefault="003E0626" w:rsidP="004D68E5">
      <w:pPr>
        <w:rPr>
          <w:rFonts w:asciiTheme="majorHAnsi" w:hAnsiTheme="majorHAnsi"/>
        </w:rPr>
      </w:pPr>
    </w:p>
    <w:p w14:paraId="712D7E37" w14:textId="77777777" w:rsidR="00E6102E" w:rsidRPr="004D68E5" w:rsidRDefault="00E6102E" w:rsidP="004D68E5">
      <w:pPr>
        <w:rPr>
          <w:rFonts w:asciiTheme="majorHAnsi" w:hAnsiTheme="majorHAnsi"/>
        </w:rPr>
      </w:pPr>
      <w:r w:rsidRPr="004D68E5">
        <w:rPr>
          <w:rFonts w:asciiTheme="majorHAnsi" w:hAnsiTheme="majorHAnsi"/>
        </w:rPr>
        <w:t>Annual leave is broken up into the following:</w:t>
      </w:r>
    </w:p>
    <w:p w14:paraId="2979E9A1" w14:textId="77777777" w:rsidR="003E0626" w:rsidRDefault="00E6102E" w:rsidP="004D68E5">
      <w:pPr>
        <w:pStyle w:val="ListParagraph"/>
        <w:numPr>
          <w:ilvl w:val="0"/>
          <w:numId w:val="33"/>
        </w:numPr>
        <w:rPr>
          <w:rFonts w:asciiTheme="majorHAnsi" w:hAnsiTheme="majorHAnsi"/>
        </w:rPr>
      </w:pPr>
      <w:r w:rsidRPr="003E0626">
        <w:rPr>
          <w:rFonts w:asciiTheme="majorHAnsi" w:hAnsiTheme="majorHAnsi"/>
        </w:rPr>
        <w:t>four weeks set by the EU</w:t>
      </w:r>
    </w:p>
    <w:p w14:paraId="49D33FA9" w14:textId="77777777" w:rsidR="003E0626" w:rsidRDefault="00E6102E" w:rsidP="004D68E5">
      <w:pPr>
        <w:pStyle w:val="ListParagraph"/>
        <w:numPr>
          <w:ilvl w:val="0"/>
          <w:numId w:val="33"/>
        </w:numPr>
        <w:rPr>
          <w:rFonts w:asciiTheme="majorHAnsi" w:hAnsiTheme="majorHAnsi"/>
        </w:rPr>
      </w:pPr>
      <w:r w:rsidRPr="003E0626">
        <w:rPr>
          <w:rFonts w:asciiTheme="majorHAnsi" w:hAnsiTheme="majorHAnsi"/>
        </w:rPr>
        <w:t>an additional 1.6 weeks set by the UK Government</w:t>
      </w:r>
    </w:p>
    <w:p w14:paraId="7B417585" w14:textId="37D38CF4" w:rsidR="00E6102E" w:rsidRPr="003E0626" w:rsidRDefault="00E6102E" w:rsidP="004D68E5">
      <w:pPr>
        <w:pStyle w:val="ListParagraph"/>
        <w:numPr>
          <w:ilvl w:val="0"/>
          <w:numId w:val="33"/>
        </w:numPr>
        <w:rPr>
          <w:rFonts w:asciiTheme="majorHAnsi" w:hAnsiTheme="majorHAnsi"/>
        </w:rPr>
      </w:pPr>
      <w:r w:rsidRPr="003E0626">
        <w:rPr>
          <w:rFonts w:asciiTheme="majorHAnsi" w:hAnsiTheme="majorHAnsi"/>
        </w:rPr>
        <w:t>any additional leave that an organisation wishes to provide.</w:t>
      </w:r>
    </w:p>
    <w:p w14:paraId="117D0E67" w14:textId="77777777" w:rsidR="003E0626" w:rsidRDefault="003E0626" w:rsidP="004D68E5">
      <w:pPr>
        <w:rPr>
          <w:rFonts w:asciiTheme="majorHAnsi" w:hAnsiTheme="majorHAnsi"/>
        </w:rPr>
      </w:pPr>
    </w:p>
    <w:p w14:paraId="19465CB7" w14:textId="483E1A20" w:rsidR="00E6102E" w:rsidRPr="004D68E5" w:rsidRDefault="00E6102E" w:rsidP="004D68E5">
      <w:pPr>
        <w:rPr>
          <w:rFonts w:asciiTheme="majorHAnsi" w:hAnsiTheme="majorHAnsi"/>
        </w:rPr>
      </w:pPr>
      <w:r w:rsidRPr="004D68E5">
        <w:rPr>
          <w:rFonts w:asciiTheme="majorHAnsi" w:hAnsiTheme="majorHAnsi"/>
        </w:rPr>
        <w:t>The first four weeks of leave must be taken in a single leave year and can only be carried over in specific circumstances</w:t>
      </w:r>
      <w:r w:rsidR="00C22266" w:rsidRPr="004D68E5">
        <w:rPr>
          <w:rFonts w:asciiTheme="majorHAnsi" w:hAnsiTheme="majorHAnsi"/>
        </w:rPr>
        <w:t xml:space="preserve">. </w:t>
      </w:r>
      <w:r w:rsidRPr="004D68E5">
        <w:rPr>
          <w:rFonts w:asciiTheme="majorHAnsi" w:hAnsiTheme="majorHAnsi"/>
        </w:rPr>
        <w:t xml:space="preserve">The remaining 1.6 weeks can be carried over into the next leave </w:t>
      </w:r>
      <w:proofErr w:type="gramStart"/>
      <w:r w:rsidRPr="004D68E5">
        <w:rPr>
          <w:rFonts w:asciiTheme="majorHAnsi" w:hAnsiTheme="majorHAnsi"/>
        </w:rPr>
        <w:t>year,</w:t>
      </w:r>
      <w:proofErr w:type="gramEnd"/>
      <w:r w:rsidRPr="004D68E5">
        <w:rPr>
          <w:rFonts w:asciiTheme="majorHAnsi" w:hAnsiTheme="majorHAnsi"/>
        </w:rPr>
        <w:t xml:space="preserve"> however this is purely down to the discretion of an employer. Additional leave can also be carried over, but again this is down to employer discretion.</w:t>
      </w:r>
    </w:p>
    <w:p w14:paraId="20DFC78A" w14:textId="77777777" w:rsidR="003E0626" w:rsidRDefault="003E0626" w:rsidP="004D68E5">
      <w:pPr>
        <w:rPr>
          <w:rFonts w:asciiTheme="majorHAnsi" w:hAnsiTheme="majorHAnsi"/>
        </w:rPr>
      </w:pPr>
    </w:p>
    <w:p w14:paraId="3B5F9373" w14:textId="059E318E" w:rsidR="00E6102E" w:rsidRPr="004D68E5" w:rsidRDefault="00E6102E" w:rsidP="004D68E5">
      <w:pPr>
        <w:rPr>
          <w:rFonts w:asciiTheme="majorHAnsi" w:hAnsiTheme="majorHAnsi"/>
        </w:rPr>
      </w:pPr>
      <w:r w:rsidRPr="004D68E5">
        <w:rPr>
          <w:rFonts w:asciiTheme="majorHAnsi" w:hAnsiTheme="majorHAnsi"/>
        </w:rPr>
        <w:t>Staff must be provided opportunity in which to take their leave and its good practice to remind them to do so at regular intervals. Holiday entitlement continues to accrue throughout periods of family or sick leave.</w:t>
      </w:r>
    </w:p>
    <w:p w14:paraId="6C3F8C33" w14:textId="77777777" w:rsidR="003E0626" w:rsidRDefault="003E0626" w:rsidP="004D68E5">
      <w:pPr>
        <w:rPr>
          <w:rFonts w:asciiTheme="majorHAnsi" w:hAnsiTheme="majorHAnsi"/>
        </w:rPr>
      </w:pPr>
    </w:p>
    <w:p w14:paraId="5CA87ABE" w14:textId="43F6C064" w:rsidR="00E6102E" w:rsidRPr="004D68E5" w:rsidRDefault="00E6102E" w:rsidP="004D68E5">
      <w:pPr>
        <w:rPr>
          <w:rFonts w:asciiTheme="majorHAnsi" w:hAnsiTheme="majorHAnsi"/>
        </w:rPr>
      </w:pPr>
      <w:r w:rsidRPr="004D68E5">
        <w:rPr>
          <w:rFonts w:asciiTheme="majorHAnsi" w:hAnsiTheme="majorHAnsi"/>
        </w:rPr>
        <w:t>Under Regulation 13 of the Working Time Regulations 1998 (WTR), employers must:</w:t>
      </w:r>
    </w:p>
    <w:p w14:paraId="2ACB927F" w14:textId="77777777" w:rsidR="00E6624E" w:rsidRDefault="00E6102E" w:rsidP="004D68E5">
      <w:pPr>
        <w:pStyle w:val="ListParagraph"/>
        <w:numPr>
          <w:ilvl w:val="0"/>
          <w:numId w:val="34"/>
        </w:numPr>
        <w:rPr>
          <w:rFonts w:asciiTheme="majorHAnsi" w:hAnsiTheme="majorHAnsi"/>
        </w:rPr>
      </w:pPr>
      <w:r w:rsidRPr="00E6624E">
        <w:rPr>
          <w:rFonts w:asciiTheme="majorHAnsi" w:hAnsiTheme="majorHAnsi"/>
        </w:rPr>
        <w:t>recognise a worker’s right to annual leave</w:t>
      </w:r>
    </w:p>
    <w:p w14:paraId="2662DD4D" w14:textId="77777777" w:rsidR="00E6624E" w:rsidRDefault="00E6102E" w:rsidP="004D68E5">
      <w:pPr>
        <w:pStyle w:val="ListParagraph"/>
        <w:numPr>
          <w:ilvl w:val="0"/>
          <w:numId w:val="34"/>
        </w:numPr>
        <w:rPr>
          <w:rFonts w:asciiTheme="majorHAnsi" w:hAnsiTheme="majorHAnsi"/>
        </w:rPr>
      </w:pPr>
      <w:r w:rsidRPr="00E6624E">
        <w:rPr>
          <w:rFonts w:asciiTheme="majorHAnsi" w:hAnsiTheme="majorHAnsi"/>
        </w:rPr>
        <w:t>give the worker a reasonable opportunity to take the leave they’re entitled to or encourage them to do so</w:t>
      </w:r>
    </w:p>
    <w:p w14:paraId="1299459F" w14:textId="7F276BE3" w:rsidR="00E6102E" w:rsidRPr="00E6624E" w:rsidRDefault="00E6102E" w:rsidP="004D68E5">
      <w:pPr>
        <w:pStyle w:val="ListParagraph"/>
        <w:numPr>
          <w:ilvl w:val="0"/>
          <w:numId w:val="34"/>
        </w:numPr>
        <w:rPr>
          <w:rFonts w:asciiTheme="majorHAnsi" w:hAnsiTheme="majorHAnsi"/>
        </w:rPr>
      </w:pPr>
      <w:r w:rsidRPr="00E6624E">
        <w:rPr>
          <w:rFonts w:asciiTheme="majorHAnsi" w:hAnsiTheme="majorHAnsi"/>
        </w:rPr>
        <w:t>inform the worker that any leave not taken by the end of the leave year, which cannot be carried forward, will be lost.</w:t>
      </w:r>
    </w:p>
    <w:p w14:paraId="11C8242C" w14:textId="77777777" w:rsidR="00E6624E" w:rsidRDefault="00E6624E" w:rsidP="004D68E5">
      <w:pPr>
        <w:rPr>
          <w:rFonts w:asciiTheme="majorHAnsi" w:hAnsiTheme="majorHAnsi"/>
        </w:rPr>
      </w:pPr>
    </w:p>
    <w:p w14:paraId="1D109578" w14:textId="39D093F0" w:rsidR="00E6102E" w:rsidRPr="004D68E5" w:rsidRDefault="00E6102E" w:rsidP="004D68E5">
      <w:pPr>
        <w:rPr>
          <w:rFonts w:asciiTheme="majorHAnsi" w:hAnsiTheme="majorHAnsi"/>
        </w:rPr>
      </w:pPr>
      <w:r w:rsidRPr="004D68E5">
        <w:rPr>
          <w:rFonts w:asciiTheme="majorHAnsi" w:hAnsiTheme="majorHAnsi"/>
        </w:rPr>
        <w:t>This means that it is within the law to have a “use it or lose it” policy when it comes to annual leave, barring carry-over (unless permitted under statute), as long as your staff know they are entitled to leave and how much, have reasonable opportunity to take it and have been told the consequences of failing to use it all in the annual leave year.</w:t>
      </w:r>
    </w:p>
    <w:p w14:paraId="3A497D61" w14:textId="77777777" w:rsidR="006645C0" w:rsidRDefault="006645C0" w:rsidP="004D68E5">
      <w:pPr>
        <w:rPr>
          <w:rFonts w:asciiTheme="majorHAnsi" w:hAnsiTheme="majorHAnsi"/>
        </w:rPr>
      </w:pPr>
    </w:p>
    <w:p w14:paraId="2042D29F" w14:textId="2922E21F" w:rsidR="00E6102E" w:rsidRPr="004D68E5" w:rsidRDefault="00E6102E" w:rsidP="004D68E5">
      <w:pPr>
        <w:rPr>
          <w:rFonts w:asciiTheme="majorHAnsi" w:hAnsiTheme="majorHAnsi"/>
        </w:rPr>
      </w:pPr>
      <w:r w:rsidRPr="004D68E5">
        <w:rPr>
          <w:rFonts w:asciiTheme="majorHAnsi" w:hAnsiTheme="majorHAnsi"/>
        </w:rPr>
        <w:t>Where Regulation 13 is not complied with, Regulation 13 (17) entitles any annual leave accrued and not taken to be carried forward to the next annual leave year. This runs the risk of compounding the problem the next year if the employer doesn’t get to grips with the issue that led the annual leave to be carried over in the first place — this is a situation best avoided.</w:t>
      </w:r>
    </w:p>
    <w:p w14:paraId="4A46E8BE" w14:textId="77777777" w:rsidR="006645C0" w:rsidRDefault="006645C0" w:rsidP="004D68E5">
      <w:pPr>
        <w:rPr>
          <w:rFonts w:asciiTheme="majorHAnsi" w:hAnsiTheme="majorHAnsi"/>
        </w:rPr>
      </w:pPr>
    </w:p>
    <w:p w14:paraId="4A2A28B3" w14:textId="305BBBF8" w:rsidR="00E6102E" w:rsidRPr="006645C0" w:rsidRDefault="00E6102E" w:rsidP="006645C0">
      <w:pPr>
        <w:shd w:val="clear" w:color="auto" w:fill="D9D9D9" w:themeFill="background1" w:themeFillShade="D9"/>
        <w:rPr>
          <w:rFonts w:asciiTheme="majorHAnsi" w:hAnsiTheme="majorHAnsi"/>
          <w:b/>
          <w:bCs/>
        </w:rPr>
      </w:pPr>
      <w:r w:rsidRPr="006645C0">
        <w:rPr>
          <w:rFonts w:asciiTheme="majorHAnsi" w:hAnsiTheme="majorHAnsi"/>
          <w:b/>
          <w:bCs/>
        </w:rPr>
        <w:t>2. KNOWING YOUR LEAVE YEAR</w:t>
      </w:r>
    </w:p>
    <w:p w14:paraId="4DE84701" w14:textId="77777777" w:rsidR="00C10CDD" w:rsidRDefault="00C10CDD" w:rsidP="004D68E5">
      <w:pPr>
        <w:rPr>
          <w:rFonts w:asciiTheme="majorHAnsi" w:hAnsiTheme="majorHAnsi"/>
        </w:rPr>
      </w:pPr>
    </w:p>
    <w:p w14:paraId="3AAF454A" w14:textId="5E646E4C" w:rsidR="00E6102E" w:rsidRDefault="00E6102E" w:rsidP="004D68E5">
      <w:pPr>
        <w:rPr>
          <w:rFonts w:asciiTheme="majorHAnsi" w:hAnsiTheme="majorHAnsi"/>
        </w:rPr>
      </w:pPr>
      <w:r w:rsidRPr="004D68E5">
        <w:rPr>
          <w:rFonts w:asciiTheme="majorHAnsi" w:hAnsiTheme="majorHAnsi"/>
        </w:rPr>
        <w:t xml:space="preserve">Leave years must run for a period of 12 months, however you as an employer are free to set when this period will be. Not </w:t>
      </w:r>
      <w:proofErr w:type="gramStart"/>
      <w:r w:rsidRPr="004D68E5">
        <w:rPr>
          <w:rFonts w:asciiTheme="majorHAnsi" w:hAnsiTheme="majorHAnsi"/>
        </w:rPr>
        <w:t>all of</w:t>
      </w:r>
      <w:proofErr w:type="gramEnd"/>
      <w:r w:rsidRPr="004D68E5">
        <w:rPr>
          <w:rFonts w:asciiTheme="majorHAnsi" w:hAnsiTheme="majorHAnsi"/>
        </w:rPr>
        <w:t xml:space="preserve"> your staff need to be managed under the same leave year, but it is highly advisable to do so </w:t>
      </w:r>
      <w:proofErr w:type="gramStart"/>
      <w:r w:rsidRPr="004D68E5">
        <w:rPr>
          <w:rFonts w:asciiTheme="majorHAnsi" w:hAnsiTheme="majorHAnsi"/>
        </w:rPr>
        <w:t>in order to</w:t>
      </w:r>
      <w:proofErr w:type="gramEnd"/>
      <w:r w:rsidRPr="004D68E5">
        <w:rPr>
          <w:rFonts w:asciiTheme="majorHAnsi" w:hAnsiTheme="majorHAnsi"/>
        </w:rPr>
        <w:t xml:space="preserve"> make the process easier. Many employers choose to use a calendar year for ease.</w:t>
      </w:r>
    </w:p>
    <w:p w14:paraId="4A6D4E5F" w14:textId="77777777" w:rsidR="00C10CDD" w:rsidRPr="004D68E5" w:rsidRDefault="00C10CDD" w:rsidP="004D68E5">
      <w:pPr>
        <w:rPr>
          <w:rFonts w:asciiTheme="majorHAnsi" w:hAnsiTheme="majorHAnsi"/>
        </w:rPr>
      </w:pPr>
    </w:p>
    <w:p w14:paraId="710202D8" w14:textId="77777777" w:rsidR="00E6102E" w:rsidRPr="004D68E5" w:rsidRDefault="00E6102E" w:rsidP="004D68E5">
      <w:pPr>
        <w:rPr>
          <w:rFonts w:asciiTheme="majorHAnsi" w:hAnsiTheme="majorHAnsi"/>
        </w:rPr>
      </w:pPr>
      <w:r w:rsidRPr="004D68E5">
        <w:rPr>
          <w:rFonts w:asciiTheme="majorHAnsi" w:hAnsiTheme="majorHAnsi"/>
        </w:rPr>
        <w:t>Knowing the organisation’s leave year is important, as it allows employees to plan how they will use their annual leave entitlement and it helps the employer to monitor how much annual leave employees have left to take to avoid an influx of requests at the end of the year as employees realise, they will lose it if it is not used.</w:t>
      </w:r>
    </w:p>
    <w:p w14:paraId="597527F7" w14:textId="77777777" w:rsidR="00C10CDD" w:rsidRDefault="00C10CDD" w:rsidP="004D68E5">
      <w:pPr>
        <w:rPr>
          <w:rFonts w:asciiTheme="majorHAnsi" w:hAnsiTheme="majorHAnsi"/>
        </w:rPr>
      </w:pPr>
    </w:p>
    <w:p w14:paraId="753405F0" w14:textId="6C7ED9C4" w:rsidR="00E6102E" w:rsidRPr="004D68E5" w:rsidRDefault="00E6102E" w:rsidP="004D68E5">
      <w:pPr>
        <w:rPr>
          <w:rFonts w:asciiTheme="majorHAnsi" w:hAnsiTheme="majorHAnsi"/>
        </w:rPr>
      </w:pPr>
      <w:r w:rsidRPr="004D68E5">
        <w:rPr>
          <w:rFonts w:asciiTheme="majorHAnsi" w:hAnsiTheme="majorHAnsi"/>
        </w:rPr>
        <w:t>You can set out the annual leave year and any rules relating to annual leave in a holiday policy.</w:t>
      </w:r>
    </w:p>
    <w:p w14:paraId="35D366AA" w14:textId="77777777" w:rsidR="00C10CDD" w:rsidRDefault="00C10CDD" w:rsidP="004D68E5">
      <w:pPr>
        <w:rPr>
          <w:rFonts w:asciiTheme="majorHAnsi" w:hAnsiTheme="majorHAnsi"/>
        </w:rPr>
      </w:pPr>
      <w:bookmarkStart w:id="0" w:name="WKID-202511111221080511-06115009"/>
    </w:p>
    <w:p w14:paraId="450AF24F" w14:textId="5C5B4E30" w:rsidR="00E6102E" w:rsidRPr="00C10CDD" w:rsidRDefault="00E6102E" w:rsidP="00C10CDD">
      <w:pPr>
        <w:shd w:val="clear" w:color="auto" w:fill="D9D9D9" w:themeFill="background1" w:themeFillShade="D9"/>
        <w:rPr>
          <w:rFonts w:asciiTheme="majorHAnsi" w:hAnsiTheme="majorHAnsi"/>
          <w:b/>
          <w:bCs/>
        </w:rPr>
      </w:pPr>
      <w:r w:rsidRPr="00C10CDD">
        <w:rPr>
          <w:rFonts w:asciiTheme="majorHAnsi" w:hAnsiTheme="majorHAnsi"/>
          <w:b/>
          <w:bCs/>
        </w:rPr>
        <w:t xml:space="preserve">3. CARRY-OVER OF ANNUAL LEAVE AFTER SICKNESS/MATERNITY </w:t>
      </w:r>
      <w:r w:rsidR="00B7245D" w:rsidRPr="00C10CDD">
        <w:rPr>
          <w:rFonts w:asciiTheme="majorHAnsi" w:hAnsiTheme="majorHAnsi"/>
          <w:b/>
          <w:bCs/>
        </w:rPr>
        <w:t>L</w:t>
      </w:r>
      <w:r w:rsidRPr="00C10CDD">
        <w:rPr>
          <w:rFonts w:asciiTheme="majorHAnsi" w:hAnsiTheme="majorHAnsi"/>
          <w:b/>
          <w:bCs/>
        </w:rPr>
        <w:t xml:space="preserve">EAVE </w:t>
      </w:r>
    </w:p>
    <w:bookmarkEnd w:id="0"/>
    <w:p w14:paraId="406D2FC3" w14:textId="77777777" w:rsidR="00C35BCD" w:rsidRDefault="00C35BCD" w:rsidP="004D68E5">
      <w:pPr>
        <w:rPr>
          <w:rFonts w:asciiTheme="majorHAnsi" w:hAnsiTheme="majorHAnsi"/>
        </w:rPr>
      </w:pPr>
    </w:p>
    <w:p w14:paraId="49CA0EF7" w14:textId="0472BA99" w:rsidR="00E6102E" w:rsidRPr="004D68E5" w:rsidRDefault="00E6102E" w:rsidP="004D68E5">
      <w:pPr>
        <w:rPr>
          <w:rFonts w:asciiTheme="majorHAnsi" w:hAnsiTheme="majorHAnsi"/>
        </w:rPr>
      </w:pPr>
      <w:r w:rsidRPr="004D68E5">
        <w:rPr>
          <w:rFonts w:asciiTheme="majorHAnsi" w:hAnsiTheme="majorHAnsi"/>
        </w:rPr>
        <w:t>The WTR provide for the right of carry-over where:</w:t>
      </w:r>
    </w:p>
    <w:p w14:paraId="0996B8A6" w14:textId="77777777" w:rsidR="00A917DE" w:rsidRDefault="00E6102E" w:rsidP="004D68E5">
      <w:pPr>
        <w:pStyle w:val="ListParagraph"/>
        <w:numPr>
          <w:ilvl w:val="0"/>
          <w:numId w:val="36"/>
        </w:numPr>
        <w:rPr>
          <w:rFonts w:asciiTheme="majorHAnsi" w:hAnsiTheme="majorHAnsi"/>
        </w:rPr>
      </w:pPr>
      <w:r w:rsidRPr="00A917DE">
        <w:rPr>
          <w:rFonts w:asciiTheme="majorHAnsi" w:hAnsiTheme="majorHAnsi"/>
        </w:rPr>
        <w:t>a worker was unable to take holiday due to being on maternity leave or other statutory leave</w:t>
      </w:r>
    </w:p>
    <w:p w14:paraId="70178492" w14:textId="3AE54BB9" w:rsidR="00E6102E" w:rsidRPr="00A917DE" w:rsidRDefault="00E6102E" w:rsidP="004D68E5">
      <w:pPr>
        <w:pStyle w:val="ListParagraph"/>
        <w:numPr>
          <w:ilvl w:val="0"/>
          <w:numId w:val="36"/>
        </w:numPr>
        <w:rPr>
          <w:rFonts w:asciiTheme="majorHAnsi" w:hAnsiTheme="majorHAnsi"/>
        </w:rPr>
      </w:pPr>
      <w:r w:rsidRPr="00A917DE">
        <w:rPr>
          <w:rFonts w:asciiTheme="majorHAnsi" w:hAnsiTheme="majorHAnsi"/>
        </w:rPr>
        <w:t>a worker was unable to take holiday due to sickness absence.</w:t>
      </w:r>
    </w:p>
    <w:p w14:paraId="22081B5D" w14:textId="77777777" w:rsidR="00A917DE" w:rsidRDefault="00A917DE" w:rsidP="004D68E5">
      <w:pPr>
        <w:rPr>
          <w:rFonts w:asciiTheme="majorHAnsi" w:hAnsiTheme="majorHAnsi"/>
        </w:rPr>
      </w:pPr>
    </w:p>
    <w:p w14:paraId="5145D5B1" w14:textId="763673DF" w:rsidR="00E6102E" w:rsidRPr="004D68E5" w:rsidRDefault="00E6102E" w:rsidP="004D68E5">
      <w:pPr>
        <w:rPr>
          <w:rFonts w:asciiTheme="majorHAnsi" w:hAnsiTheme="majorHAnsi"/>
        </w:rPr>
      </w:pPr>
      <w:r w:rsidRPr="004D68E5">
        <w:rPr>
          <w:rFonts w:asciiTheme="majorHAnsi" w:hAnsiTheme="majorHAnsi"/>
        </w:rPr>
        <w:t>When the worker has been on sick leave, their right to carry over is limited to four weeks and it can be carried over up to 18 months after the end of the leave year in which it was accrued (eg a worker who was off sick for all 2025 can carry four weeks over to end of June 2027).</w:t>
      </w:r>
    </w:p>
    <w:p w14:paraId="43812C26" w14:textId="77777777" w:rsidR="00A917DE" w:rsidRDefault="00A917DE" w:rsidP="004D68E5">
      <w:pPr>
        <w:rPr>
          <w:rFonts w:asciiTheme="majorHAnsi" w:hAnsiTheme="majorHAnsi"/>
        </w:rPr>
      </w:pPr>
    </w:p>
    <w:p w14:paraId="7F23BC7E" w14:textId="60917776" w:rsidR="00E6102E" w:rsidRPr="004D68E5" w:rsidRDefault="00E6102E" w:rsidP="004D68E5">
      <w:pPr>
        <w:rPr>
          <w:rFonts w:asciiTheme="majorHAnsi" w:hAnsiTheme="majorHAnsi"/>
        </w:rPr>
      </w:pPr>
      <w:r w:rsidRPr="004D68E5">
        <w:rPr>
          <w:rFonts w:asciiTheme="majorHAnsi" w:hAnsiTheme="majorHAnsi"/>
        </w:rPr>
        <w:t>When the employee has been on statutory family-related leave, such as maternity or adoption leave, all 5.6 weeks can be carried over into the next annual leave year.</w:t>
      </w:r>
    </w:p>
    <w:p w14:paraId="7F133651" w14:textId="77777777" w:rsidR="00A917DE" w:rsidRDefault="00A917DE" w:rsidP="004D68E5">
      <w:pPr>
        <w:rPr>
          <w:rFonts w:asciiTheme="majorHAnsi" w:hAnsiTheme="majorHAnsi"/>
        </w:rPr>
      </w:pPr>
      <w:bookmarkStart w:id="1" w:name="X363e36738d02e4df47c47fac2da9b70f12e5e9a"/>
    </w:p>
    <w:p w14:paraId="5E8531AA" w14:textId="47A0CE32" w:rsidR="00B7245D" w:rsidRPr="00A917DE" w:rsidRDefault="00B7245D" w:rsidP="00A917DE">
      <w:pPr>
        <w:shd w:val="clear" w:color="auto" w:fill="D9D9D9" w:themeFill="background1" w:themeFillShade="D9"/>
        <w:rPr>
          <w:rFonts w:asciiTheme="majorHAnsi" w:hAnsiTheme="majorHAnsi"/>
          <w:b/>
          <w:bCs/>
        </w:rPr>
      </w:pPr>
      <w:r w:rsidRPr="00A917DE">
        <w:rPr>
          <w:rFonts w:asciiTheme="majorHAnsi" w:hAnsiTheme="majorHAnsi"/>
          <w:b/>
          <w:bCs/>
        </w:rPr>
        <w:t xml:space="preserve">4. ENCOURAGING STAFF TO TAKE LEAVE </w:t>
      </w:r>
    </w:p>
    <w:bookmarkEnd w:id="1"/>
    <w:p w14:paraId="6D215298" w14:textId="77777777" w:rsidR="00A917DE" w:rsidRDefault="00A917DE" w:rsidP="004D68E5">
      <w:pPr>
        <w:rPr>
          <w:rFonts w:asciiTheme="majorHAnsi" w:hAnsiTheme="majorHAnsi"/>
        </w:rPr>
      </w:pPr>
    </w:p>
    <w:p w14:paraId="274D20EC" w14:textId="1F17BFAF" w:rsidR="00E6102E" w:rsidRPr="004D68E5" w:rsidRDefault="00E6102E" w:rsidP="004D68E5">
      <w:pPr>
        <w:rPr>
          <w:rFonts w:asciiTheme="majorHAnsi" w:hAnsiTheme="majorHAnsi"/>
        </w:rPr>
      </w:pPr>
      <w:r w:rsidRPr="004D68E5">
        <w:rPr>
          <w:rFonts w:asciiTheme="majorHAnsi" w:hAnsiTheme="majorHAnsi"/>
        </w:rPr>
        <w:t xml:space="preserve">It is down to staff if they choose to take their leave. If you can demonstrate that they have been made aware of their entitlement, given opportunity to take their leave and have not done so, it will be difficult for them to argue that they should be able to carry it over </w:t>
      </w:r>
      <w:proofErr w:type="gramStart"/>
      <w:r w:rsidRPr="004D68E5">
        <w:rPr>
          <w:rFonts w:asciiTheme="majorHAnsi" w:hAnsiTheme="majorHAnsi"/>
        </w:rPr>
        <w:t>at a later date</w:t>
      </w:r>
      <w:proofErr w:type="gramEnd"/>
      <w:r w:rsidRPr="004D68E5">
        <w:rPr>
          <w:rFonts w:asciiTheme="majorHAnsi" w:hAnsiTheme="majorHAnsi"/>
        </w:rPr>
        <w:t>.</w:t>
      </w:r>
    </w:p>
    <w:p w14:paraId="3D23105D" w14:textId="77777777" w:rsidR="00A917DE" w:rsidRDefault="00A917DE" w:rsidP="004D68E5">
      <w:pPr>
        <w:rPr>
          <w:rFonts w:asciiTheme="majorHAnsi" w:hAnsiTheme="majorHAnsi"/>
        </w:rPr>
      </w:pPr>
    </w:p>
    <w:p w14:paraId="34FFFF22" w14:textId="77777777" w:rsidR="00E6102E" w:rsidRPr="004D68E5" w:rsidRDefault="00E6102E" w:rsidP="004D68E5">
      <w:pPr>
        <w:rPr>
          <w:rFonts w:asciiTheme="majorHAnsi" w:hAnsiTheme="majorHAnsi"/>
        </w:rPr>
      </w:pPr>
      <w:r w:rsidRPr="004D68E5">
        <w:rPr>
          <w:rFonts w:asciiTheme="majorHAnsi" w:hAnsiTheme="majorHAnsi"/>
        </w:rPr>
        <w:t>There are various methods you can use to encourage staff to take their leave during the leave year. These include:</w:t>
      </w:r>
    </w:p>
    <w:p w14:paraId="4A758E3B" w14:textId="77777777" w:rsidR="00A32859" w:rsidRDefault="00E6102E" w:rsidP="004D68E5">
      <w:pPr>
        <w:pStyle w:val="ListParagraph"/>
        <w:numPr>
          <w:ilvl w:val="0"/>
          <w:numId w:val="37"/>
        </w:numPr>
        <w:rPr>
          <w:rFonts w:asciiTheme="majorHAnsi" w:hAnsiTheme="majorHAnsi"/>
        </w:rPr>
      </w:pPr>
      <w:r w:rsidRPr="00A32859">
        <w:rPr>
          <w:rFonts w:asciiTheme="majorHAnsi" w:hAnsiTheme="majorHAnsi"/>
        </w:rPr>
        <w:t>highlighting to staff the leave they are entitled to through policies and training</w:t>
      </w:r>
    </w:p>
    <w:p w14:paraId="2EFDEFEF" w14:textId="77777777" w:rsidR="00A32859" w:rsidRDefault="00E6102E" w:rsidP="004D68E5">
      <w:pPr>
        <w:pStyle w:val="ListParagraph"/>
        <w:numPr>
          <w:ilvl w:val="0"/>
          <w:numId w:val="37"/>
        </w:numPr>
        <w:rPr>
          <w:rFonts w:asciiTheme="majorHAnsi" w:hAnsiTheme="majorHAnsi"/>
        </w:rPr>
      </w:pPr>
      <w:r w:rsidRPr="00A32859">
        <w:rPr>
          <w:rFonts w:asciiTheme="majorHAnsi" w:hAnsiTheme="majorHAnsi"/>
        </w:rPr>
        <w:t>sending periodic reminder emails to staff that have leave left to take and what will happen if they don’t take it. This can be done in various ways, including within the holiday policy, such as a notice on the holiday booking system, in team meetings, through internal memos — whichever method is best suited given the circumstances of the organisation should be used to get the message across to employees</w:t>
      </w:r>
    </w:p>
    <w:p w14:paraId="5DCD0DA5" w14:textId="77777777" w:rsidR="00A32859" w:rsidRDefault="00E6102E" w:rsidP="004D68E5">
      <w:pPr>
        <w:pStyle w:val="ListParagraph"/>
        <w:numPr>
          <w:ilvl w:val="0"/>
          <w:numId w:val="37"/>
        </w:numPr>
        <w:rPr>
          <w:rFonts w:asciiTheme="majorHAnsi" w:hAnsiTheme="majorHAnsi"/>
        </w:rPr>
      </w:pPr>
      <w:r w:rsidRPr="00A32859">
        <w:rPr>
          <w:rFonts w:asciiTheme="majorHAnsi" w:hAnsiTheme="majorHAnsi"/>
        </w:rPr>
        <w:t>accepting as many requests as possible</w:t>
      </w:r>
    </w:p>
    <w:p w14:paraId="29A8027D" w14:textId="77777777" w:rsidR="00A32859" w:rsidRDefault="00E6102E" w:rsidP="004D68E5">
      <w:pPr>
        <w:pStyle w:val="ListParagraph"/>
        <w:numPr>
          <w:ilvl w:val="0"/>
          <w:numId w:val="37"/>
        </w:numPr>
        <w:rPr>
          <w:rFonts w:asciiTheme="majorHAnsi" w:hAnsiTheme="majorHAnsi"/>
        </w:rPr>
      </w:pPr>
      <w:r w:rsidRPr="00A32859">
        <w:rPr>
          <w:rFonts w:asciiTheme="majorHAnsi" w:hAnsiTheme="majorHAnsi"/>
        </w:rPr>
        <w:t xml:space="preserve">enforcing periods of leave, which you can do </w:t>
      </w:r>
      <w:proofErr w:type="gramStart"/>
      <w:r w:rsidRPr="00A32859">
        <w:rPr>
          <w:rFonts w:asciiTheme="majorHAnsi" w:hAnsiTheme="majorHAnsi"/>
        </w:rPr>
        <w:t>as long as</w:t>
      </w:r>
      <w:proofErr w:type="gramEnd"/>
      <w:r w:rsidRPr="00A32859">
        <w:rPr>
          <w:rFonts w:asciiTheme="majorHAnsi" w:hAnsiTheme="majorHAnsi"/>
        </w:rPr>
        <w:t xml:space="preserve"> you provide at least twice the length of this leave</w:t>
      </w:r>
    </w:p>
    <w:p w14:paraId="7CB4E3A5" w14:textId="77777777" w:rsidR="00A32859" w:rsidRDefault="00E6102E" w:rsidP="004D68E5">
      <w:pPr>
        <w:pStyle w:val="ListParagraph"/>
        <w:numPr>
          <w:ilvl w:val="0"/>
          <w:numId w:val="37"/>
        </w:numPr>
        <w:rPr>
          <w:rFonts w:asciiTheme="majorHAnsi" w:hAnsiTheme="majorHAnsi"/>
        </w:rPr>
      </w:pPr>
      <w:r w:rsidRPr="00A32859">
        <w:rPr>
          <w:rFonts w:asciiTheme="majorHAnsi" w:hAnsiTheme="majorHAnsi"/>
        </w:rPr>
        <w:t>making the process for requesting and accepting leave as easy as possible</w:t>
      </w:r>
    </w:p>
    <w:p w14:paraId="559D8443" w14:textId="77777777" w:rsidR="00A32859" w:rsidRDefault="00E6102E" w:rsidP="004D68E5">
      <w:pPr>
        <w:pStyle w:val="ListParagraph"/>
        <w:numPr>
          <w:ilvl w:val="0"/>
          <w:numId w:val="37"/>
        </w:numPr>
        <w:rPr>
          <w:rFonts w:asciiTheme="majorHAnsi" w:hAnsiTheme="majorHAnsi"/>
        </w:rPr>
      </w:pPr>
      <w:r w:rsidRPr="00A32859">
        <w:rPr>
          <w:rFonts w:asciiTheme="majorHAnsi" w:hAnsiTheme="majorHAnsi"/>
        </w:rPr>
        <w:t>avoiding cancelling pre-booked periods of leave unless business need requires it</w:t>
      </w:r>
    </w:p>
    <w:p w14:paraId="463B609D" w14:textId="77777777" w:rsidR="00A32859" w:rsidRDefault="00E6102E" w:rsidP="004D68E5">
      <w:pPr>
        <w:pStyle w:val="ListParagraph"/>
        <w:numPr>
          <w:ilvl w:val="0"/>
          <w:numId w:val="37"/>
        </w:numPr>
        <w:rPr>
          <w:rFonts w:asciiTheme="majorHAnsi" w:hAnsiTheme="majorHAnsi"/>
        </w:rPr>
      </w:pPr>
      <w:r w:rsidRPr="00A32859">
        <w:rPr>
          <w:rFonts w:asciiTheme="majorHAnsi" w:hAnsiTheme="majorHAnsi"/>
        </w:rPr>
        <w:lastRenderedPageBreak/>
        <w:t>carefully managing workloads to make sure staff do not feel they are unable to take leave for fear of work building up in their absence.</w:t>
      </w:r>
    </w:p>
    <w:p w14:paraId="04546AA6" w14:textId="4DBF7D6B" w:rsidR="00E6102E" w:rsidRPr="00A32859" w:rsidRDefault="00E6102E" w:rsidP="004D68E5">
      <w:pPr>
        <w:pStyle w:val="ListParagraph"/>
        <w:numPr>
          <w:ilvl w:val="0"/>
          <w:numId w:val="37"/>
        </w:numPr>
        <w:rPr>
          <w:rFonts w:asciiTheme="majorHAnsi" w:hAnsiTheme="majorHAnsi"/>
        </w:rPr>
      </w:pPr>
      <w:r w:rsidRPr="00A32859">
        <w:rPr>
          <w:rFonts w:asciiTheme="majorHAnsi" w:hAnsiTheme="majorHAnsi"/>
        </w:rPr>
        <w:t xml:space="preserve">explaining that there is no right of carry-over of statutory leave (and contractual to if that is the rule in place) if they fail to take </w:t>
      </w:r>
      <w:proofErr w:type="gramStart"/>
      <w:r w:rsidRPr="00A32859">
        <w:rPr>
          <w:rFonts w:asciiTheme="majorHAnsi" w:hAnsiTheme="majorHAnsi"/>
        </w:rPr>
        <w:t>all of</w:t>
      </w:r>
      <w:proofErr w:type="gramEnd"/>
      <w:r w:rsidRPr="00A32859">
        <w:rPr>
          <w:rFonts w:asciiTheme="majorHAnsi" w:hAnsiTheme="majorHAnsi"/>
        </w:rPr>
        <w:t xml:space="preserve"> their annual leave</w:t>
      </w:r>
    </w:p>
    <w:p w14:paraId="7F7483CC" w14:textId="77777777" w:rsidR="00063008" w:rsidRDefault="00063008" w:rsidP="004D68E5">
      <w:pPr>
        <w:rPr>
          <w:rFonts w:asciiTheme="majorHAnsi" w:hAnsiTheme="majorHAnsi"/>
        </w:rPr>
      </w:pPr>
    </w:p>
    <w:p w14:paraId="6AF3459C" w14:textId="6ADB706A" w:rsidR="00E6102E" w:rsidRPr="004D68E5" w:rsidRDefault="00E6102E" w:rsidP="004D68E5">
      <w:pPr>
        <w:rPr>
          <w:rFonts w:asciiTheme="majorHAnsi" w:hAnsiTheme="majorHAnsi"/>
        </w:rPr>
      </w:pPr>
      <w:r w:rsidRPr="004D68E5">
        <w:rPr>
          <w:rFonts w:asciiTheme="majorHAnsi" w:hAnsiTheme="majorHAnsi"/>
        </w:rPr>
        <w:t>Should there be any reasons that might make employees reluctant to take leave, such as staff shortages or excessive workloads, these should be discussed with individuals. Action may need to be taken to ensure the employee feels able to take their annual leave, such as temporarily reassigning work or reviewing staffing levels in their department. Failure to do that could prevent the employee from having a reasonable opportunity to take their leave.</w:t>
      </w:r>
    </w:p>
    <w:p w14:paraId="43B9CB9B" w14:textId="77777777" w:rsidR="00063008" w:rsidRDefault="00063008" w:rsidP="004D68E5">
      <w:pPr>
        <w:rPr>
          <w:rFonts w:asciiTheme="majorHAnsi" w:hAnsiTheme="majorHAnsi"/>
        </w:rPr>
      </w:pPr>
      <w:bookmarkStart w:id="2" w:name="X4bb6a0bf3f0e2824de5e21bc6c0a5b00130bc4f"/>
    </w:p>
    <w:p w14:paraId="6E8E8E8A" w14:textId="33F11B87" w:rsidR="00FD3A82" w:rsidRPr="00063008" w:rsidRDefault="00FD3A82" w:rsidP="00063008">
      <w:pPr>
        <w:shd w:val="clear" w:color="auto" w:fill="D9D9D9" w:themeFill="background1" w:themeFillShade="D9"/>
        <w:rPr>
          <w:rFonts w:asciiTheme="majorHAnsi" w:hAnsiTheme="majorHAnsi"/>
          <w:b/>
          <w:bCs/>
        </w:rPr>
      </w:pPr>
      <w:r w:rsidRPr="00063008">
        <w:rPr>
          <w:rFonts w:asciiTheme="majorHAnsi" w:hAnsiTheme="majorHAnsi"/>
          <w:b/>
          <w:bCs/>
        </w:rPr>
        <w:t xml:space="preserve">5. ENFORCING THE TAKING OF LEAVE </w:t>
      </w:r>
    </w:p>
    <w:bookmarkEnd w:id="2"/>
    <w:p w14:paraId="1E864EBF" w14:textId="77777777" w:rsidR="00063008" w:rsidRDefault="00063008" w:rsidP="004D68E5">
      <w:pPr>
        <w:rPr>
          <w:rFonts w:asciiTheme="majorHAnsi" w:hAnsiTheme="majorHAnsi"/>
        </w:rPr>
      </w:pPr>
    </w:p>
    <w:p w14:paraId="69B765A4" w14:textId="49C4D0AD" w:rsidR="00E6102E" w:rsidRPr="004D68E5" w:rsidRDefault="00E6102E" w:rsidP="004D68E5">
      <w:pPr>
        <w:rPr>
          <w:rFonts w:asciiTheme="majorHAnsi" w:hAnsiTheme="majorHAnsi"/>
        </w:rPr>
      </w:pPr>
      <w:r w:rsidRPr="004D68E5">
        <w:rPr>
          <w:rFonts w:asciiTheme="majorHAnsi" w:hAnsiTheme="majorHAnsi"/>
        </w:rPr>
        <w:t xml:space="preserve">To ensure that staff take the leave they are carrying over, you are generally able to enforce a period of leave. However, as outlined above, you must provide at least twice the amount of the enforced leave in notice to the employee </w:t>
      </w:r>
      <w:proofErr w:type="gramStart"/>
      <w:r w:rsidRPr="004D68E5">
        <w:rPr>
          <w:rFonts w:asciiTheme="majorHAnsi" w:hAnsiTheme="majorHAnsi"/>
        </w:rPr>
        <w:t>in order to</w:t>
      </w:r>
      <w:proofErr w:type="gramEnd"/>
      <w:r w:rsidRPr="004D68E5">
        <w:rPr>
          <w:rFonts w:asciiTheme="majorHAnsi" w:hAnsiTheme="majorHAnsi"/>
        </w:rPr>
        <w:t xml:space="preserve"> do this.</w:t>
      </w:r>
    </w:p>
    <w:p w14:paraId="6F76B4A6" w14:textId="77777777" w:rsidR="00063008" w:rsidRDefault="00063008" w:rsidP="004D68E5">
      <w:pPr>
        <w:rPr>
          <w:rFonts w:asciiTheme="majorHAnsi" w:hAnsiTheme="majorHAnsi"/>
        </w:rPr>
      </w:pPr>
    </w:p>
    <w:p w14:paraId="3BC34202" w14:textId="2187BD52" w:rsidR="00E6102E" w:rsidRPr="004D68E5" w:rsidRDefault="00E6102E" w:rsidP="004D68E5">
      <w:pPr>
        <w:rPr>
          <w:rFonts w:asciiTheme="majorHAnsi" w:hAnsiTheme="majorHAnsi"/>
        </w:rPr>
      </w:pPr>
      <w:r w:rsidRPr="004D68E5">
        <w:rPr>
          <w:rFonts w:asciiTheme="majorHAnsi" w:hAnsiTheme="majorHAnsi"/>
        </w:rPr>
        <w:t>For example, if you are requiring staff to take one week’s worth of leave, you need to provide at least two weeks of notice to them. You should also make it clear that this will be considered the leave that they are carrying over, if this is your intention.</w:t>
      </w:r>
    </w:p>
    <w:p w14:paraId="63A65147" w14:textId="77777777" w:rsidR="00063008" w:rsidRDefault="00063008" w:rsidP="004D68E5">
      <w:pPr>
        <w:rPr>
          <w:rFonts w:asciiTheme="majorHAnsi" w:hAnsiTheme="majorHAnsi"/>
        </w:rPr>
      </w:pPr>
      <w:bookmarkStart w:id="3" w:name="X1caaca5f90fb6580d74c25eb7670c2cff1714df"/>
    </w:p>
    <w:p w14:paraId="115CAB50" w14:textId="49D0A066" w:rsidR="005E02A7" w:rsidRPr="00063008" w:rsidRDefault="005E02A7" w:rsidP="00063008">
      <w:pPr>
        <w:shd w:val="clear" w:color="auto" w:fill="D9D9D9" w:themeFill="background1" w:themeFillShade="D9"/>
        <w:rPr>
          <w:rFonts w:asciiTheme="majorHAnsi" w:hAnsiTheme="majorHAnsi"/>
          <w:b/>
          <w:bCs/>
        </w:rPr>
      </w:pPr>
      <w:r w:rsidRPr="00063008">
        <w:rPr>
          <w:rFonts w:asciiTheme="majorHAnsi" w:hAnsiTheme="majorHAnsi"/>
          <w:b/>
          <w:bCs/>
        </w:rPr>
        <w:t xml:space="preserve">6. MANAGING CARRY-OVER </w:t>
      </w:r>
    </w:p>
    <w:bookmarkEnd w:id="3"/>
    <w:p w14:paraId="696C8EAE" w14:textId="77777777" w:rsidR="00063008" w:rsidRDefault="00063008" w:rsidP="004D68E5">
      <w:pPr>
        <w:rPr>
          <w:rFonts w:asciiTheme="majorHAnsi" w:hAnsiTheme="majorHAnsi"/>
        </w:rPr>
      </w:pPr>
    </w:p>
    <w:p w14:paraId="432CCD54" w14:textId="7E890407" w:rsidR="00E6102E" w:rsidRPr="004D68E5" w:rsidRDefault="00E6102E" w:rsidP="004D68E5">
      <w:pPr>
        <w:rPr>
          <w:rFonts w:asciiTheme="majorHAnsi" w:hAnsiTheme="majorHAnsi"/>
        </w:rPr>
      </w:pPr>
      <w:r w:rsidRPr="004D68E5">
        <w:rPr>
          <w:rFonts w:asciiTheme="majorHAnsi" w:hAnsiTheme="majorHAnsi"/>
        </w:rPr>
        <w:t>It is highly advisable that you are open with staff throughout the process of carrying over annual leave. They should be informed how much they are carrying over, when they will be able to take it and why the carry-over has been permitted.</w:t>
      </w:r>
    </w:p>
    <w:p w14:paraId="0F8B3B91" w14:textId="77777777" w:rsidR="00B30AC1" w:rsidRDefault="00B30AC1" w:rsidP="004D68E5">
      <w:pPr>
        <w:rPr>
          <w:rFonts w:asciiTheme="majorHAnsi" w:hAnsiTheme="majorHAnsi"/>
        </w:rPr>
      </w:pPr>
    </w:p>
    <w:p w14:paraId="28CDD6A0" w14:textId="3EAD0AFC" w:rsidR="00E6102E" w:rsidRPr="004D68E5" w:rsidRDefault="00E6102E" w:rsidP="004D68E5">
      <w:pPr>
        <w:rPr>
          <w:rFonts w:asciiTheme="majorHAnsi" w:hAnsiTheme="majorHAnsi"/>
        </w:rPr>
      </w:pPr>
      <w:r w:rsidRPr="004D68E5">
        <w:rPr>
          <w:rFonts w:asciiTheme="majorHAnsi" w:hAnsiTheme="majorHAnsi"/>
        </w:rPr>
        <w:t>When leave is carried over, in the next leave year, the employee will be entitled to two separate forms of leave:</w:t>
      </w:r>
    </w:p>
    <w:p w14:paraId="761E628A" w14:textId="77777777" w:rsidR="00B30AC1" w:rsidRDefault="00E6102E" w:rsidP="004D68E5">
      <w:pPr>
        <w:pStyle w:val="ListParagraph"/>
        <w:numPr>
          <w:ilvl w:val="0"/>
          <w:numId w:val="38"/>
        </w:numPr>
        <w:rPr>
          <w:rFonts w:asciiTheme="majorHAnsi" w:hAnsiTheme="majorHAnsi"/>
        </w:rPr>
      </w:pPr>
      <w:proofErr w:type="spellStart"/>
      <w:r w:rsidRPr="00B30AC1">
        <w:rPr>
          <w:rFonts w:asciiTheme="majorHAnsi" w:hAnsiTheme="majorHAnsi"/>
        </w:rPr>
        <w:t>the</w:t>
      </w:r>
      <w:proofErr w:type="spellEnd"/>
      <w:r w:rsidRPr="00B30AC1">
        <w:rPr>
          <w:rFonts w:asciiTheme="majorHAnsi" w:hAnsiTheme="majorHAnsi"/>
        </w:rPr>
        <w:t xml:space="preserve"> leave that they were originally entitled to take in that specific leave year</w:t>
      </w:r>
    </w:p>
    <w:p w14:paraId="15EA8BA9" w14:textId="3694661E" w:rsidR="00E6102E" w:rsidRPr="00B30AC1" w:rsidRDefault="00E6102E" w:rsidP="004D68E5">
      <w:pPr>
        <w:pStyle w:val="ListParagraph"/>
        <w:numPr>
          <w:ilvl w:val="0"/>
          <w:numId w:val="38"/>
        </w:numPr>
        <w:rPr>
          <w:rFonts w:asciiTheme="majorHAnsi" w:hAnsiTheme="majorHAnsi"/>
        </w:rPr>
      </w:pPr>
      <w:proofErr w:type="spellStart"/>
      <w:r w:rsidRPr="00B30AC1">
        <w:rPr>
          <w:rFonts w:asciiTheme="majorHAnsi" w:hAnsiTheme="majorHAnsi"/>
        </w:rPr>
        <w:t>the</w:t>
      </w:r>
      <w:proofErr w:type="spellEnd"/>
      <w:r w:rsidRPr="00B30AC1">
        <w:rPr>
          <w:rFonts w:asciiTheme="majorHAnsi" w:hAnsiTheme="majorHAnsi"/>
        </w:rPr>
        <w:t xml:space="preserve"> leave that they have carried over from their previous leave year.</w:t>
      </w:r>
    </w:p>
    <w:p w14:paraId="3E28968B" w14:textId="77777777" w:rsidR="00B30AC1" w:rsidRDefault="00B30AC1" w:rsidP="004D68E5">
      <w:pPr>
        <w:rPr>
          <w:rFonts w:asciiTheme="majorHAnsi" w:hAnsiTheme="majorHAnsi"/>
        </w:rPr>
      </w:pPr>
    </w:p>
    <w:p w14:paraId="61FC8FC2" w14:textId="06B73994" w:rsidR="00E6102E" w:rsidRPr="004D68E5" w:rsidRDefault="00E6102E" w:rsidP="004D68E5">
      <w:pPr>
        <w:rPr>
          <w:rFonts w:asciiTheme="majorHAnsi" w:hAnsiTheme="majorHAnsi"/>
        </w:rPr>
      </w:pPr>
      <w:r w:rsidRPr="004D68E5">
        <w:rPr>
          <w:rFonts w:asciiTheme="majorHAnsi" w:hAnsiTheme="majorHAnsi"/>
        </w:rPr>
        <w:t>When employees take their leave is down to you, provided you give them opportunity in which to take it. Usually, it is advisable to encourage staff to take the leave that expires first, which in this case would be the leave they are already entitled to in the new leave year.</w:t>
      </w:r>
    </w:p>
    <w:p w14:paraId="21F9F11E" w14:textId="77777777" w:rsidR="00B30AC1" w:rsidRDefault="00B30AC1" w:rsidP="004D68E5">
      <w:pPr>
        <w:rPr>
          <w:rFonts w:asciiTheme="majorHAnsi" w:hAnsiTheme="majorHAnsi"/>
        </w:rPr>
      </w:pPr>
    </w:p>
    <w:p w14:paraId="601A2F8A" w14:textId="4BFC34FA" w:rsidR="005E02A7" w:rsidRPr="00B30AC1" w:rsidRDefault="005E02A7" w:rsidP="00B30AC1">
      <w:pPr>
        <w:shd w:val="clear" w:color="auto" w:fill="D9D9D9" w:themeFill="background1" w:themeFillShade="D9"/>
        <w:rPr>
          <w:rFonts w:asciiTheme="majorHAnsi" w:hAnsiTheme="majorHAnsi"/>
          <w:b/>
          <w:bCs/>
        </w:rPr>
      </w:pPr>
      <w:bookmarkStart w:id="4" w:name="Xb2882253a8d8656399d338b1300453ac67d764b"/>
      <w:r w:rsidRPr="00B30AC1">
        <w:rPr>
          <w:rFonts w:asciiTheme="majorHAnsi" w:hAnsiTheme="majorHAnsi"/>
          <w:b/>
          <w:bCs/>
        </w:rPr>
        <w:t>7. UNDERSTANDING HOLIDAY PAYMENTS FOR LEAVE CARRIED OVER</w:t>
      </w:r>
    </w:p>
    <w:bookmarkEnd w:id="4"/>
    <w:p w14:paraId="16D74087" w14:textId="77777777" w:rsidR="003A3E4D" w:rsidRDefault="003A3E4D" w:rsidP="004D68E5">
      <w:pPr>
        <w:rPr>
          <w:rFonts w:asciiTheme="majorHAnsi" w:hAnsiTheme="majorHAnsi"/>
        </w:rPr>
      </w:pPr>
    </w:p>
    <w:p w14:paraId="37A95F77" w14:textId="4F12947C" w:rsidR="00E6102E" w:rsidRPr="004D68E5" w:rsidRDefault="00E6102E" w:rsidP="004D68E5">
      <w:pPr>
        <w:rPr>
          <w:rFonts w:asciiTheme="majorHAnsi" w:hAnsiTheme="majorHAnsi"/>
        </w:rPr>
      </w:pPr>
      <w:r w:rsidRPr="004D68E5">
        <w:rPr>
          <w:rFonts w:asciiTheme="majorHAnsi" w:hAnsiTheme="majorHAnsi"/>
        </w:rPr>
        <w:t>For those who work normal hours and are paid at a fixed rate, the payment they should receive whilst on holiday should reflect their normal remuneration. This means that any leave carried over should also be paid in this way.</w:t>
      </w:r>
    </w:p>
    <w:p w14:paraId="71C96034" w14:textId="77777777" w:rsidR="003A3E4D" w:rsidRDefault="003A3E4D" w:rsidP="004D68E5">
      <w:pPr>
        <w:rPr>
          <w:rFonts w:asciiTheme="majorHAnsi" w:hAnsiTheme="majorHAnsi"/>
        </w:rPr>
      </w:pPr>
    </w:p>
    <w:p w14:paraId="77C0281A" w14:textId="5AD32899" w:rsidR="00E6102E" w:rsidRPr="004D68E5" w:rsidRDefault="00E6102E" w:rsidP="004D68E5">
      <w:pPr>
        <w:rPr>
          <w:rFonts w:asciiTheme="majorHAnsi" w:hAnsiTheme="majorHAnsi"/>
        </w:rPr>
      </w:pPr>
      <w:r w:rsidRPr="004D68E5">
        <w:rPr>
          <w:rFonts w:asciiTheme="majorHAnsi" w:hAnsiTheme="majorHAnsi"/>
        </w:rPr>
        <w:t>For those who work varied hours, or received varied payments, their pay should be calculated by averaging their weekly pay in the previous 52 weeks in which they have worked. If they have not worked for you for 52 weeks, you average this amount from the number of weeks they have worked.</w:t>
      </w:r>
    </w:p>
    <w:p w14:paraId="27B74C55" w14:textId="77777777" w:rsidR="003A3E4D" w:rsidRDefault="003A3E4D" w:rsidP="004D68E5">
      <w:pPr>
        <w:rPr>
          <w:rFonts w:asciiTheme="majorHAnsi" w:hAnsiTheme="majorHAnsi"/>
        </w:rPr>
      </w:pPr>
    </w:p>
    <w:p w14:paraId="21CF5F6A" w14:textId="557C96F0" w:rsidR="00E6102E" w:rsidRPr="004D68E5" w:rsidRDefault="00E6102E" w:rsidP="004D68E5">
      <w:pPr>
        <w:rPr>
          <w:rFonts w:asciiTheme="majorHAnsi" w:hAnsiTheme="majorHAnsi"/>
        </w:rPr>
      </w:pPr>
      <w:r w:rsidRPr="004D68E5">
        <w:rPr>
          <w:rFonts w:asciiTheme="majorHAnsi" w:hAnsiTheme="majorHAnsi"/>
        </w:rPr>
        <w:lastRenderedPageBreak/>
        <w:t xml:space="preserve">This is how you should also calculate pay for holiday that is carried over. You should refer to the previous 52 weeks from when the leave is </w:t>
      </w:r>
      <w:proofErr w:type="gramStart"/>
      <w:r w:rsidRPr="004D68E5">
        <w:rPr>
          <w:rFonts w:asciiTheme="majorHAnsi" w:hAnsiTheme="majorHAnsi"/>
        </w:rPr>
        <w:t>actually being</w:t>
      </w:r>
      <w:proofErr w:type="gramEnd"/>
      <w:r w:rsidRPr="004D68E5">
        <w:rPr>
          <w:rFonts w:asciiTheme="majorHAnsi" w:hAnsiTheme="majorHAnsi"/>
        </w:rPr>
        <w:t xml:space="preserve"> taken.</w:t>
      </w:r>
    </w:p>
    <w:p w14:paraId="3632B720" w14:textId="77777777" w:rsidR="001E2F20" w:rsidRDefault="001E2F20" w:rsidP="004D68E5">
      <w:pPr>
        <w:rPr>
          <w:rFonts w:asciiTheme="majorHAnsi" w:hAnsiTheme="majorHAnsi"/>
        </w:rPr>
      </w:pPr>
      <w:bookmarkStart w:id="5" w:name="X028bbba93e855c4538b3c48b75b2db27bcd07a9"/>
    </w:p>
    <w:p w14:paraId="70F9ABE9" w14:textId="6483FAA0" w:rsidR="005E02A7" w:rsidRPr="001E2F20" w:rsidRDefault="005E02A7" w:rsidP="001E2F20">
      <w:pPr>
        <w:shd w:val="clear" w:color="auto" w:fill="D9D9D9" w:themeFill="background1" w:themeFillShade="D9"/>
        <w:rPr>
          <w:rFonts w:asciiTheme="majorHAnsi" w:hAnsiTheme="majorHAnsi"/>
          <w:b/>
          <w:bCs/>
        </w:rPr>
      </w:pPr>
      <w:r w:rsidRPr="001E2F20">
        <w:rPr>
          <w:rFonts w:asciiTheme="majorHAnsi" w:hAnsiTheme="majorHAnsi"/>
          <w:b/>
          <w:bCs/>
        </w:rPr>
        <w:t xml:space="preserve">8. </w:t>
      </w:r>
      <w:r w:rsidR="00393779" w:rsidRPr="001E2F20">
        <w:rPr>
          <w:rFonts w:asciiTheme="majorHAnsi" w:hAnsiTheme="majorHAnsi"/>
          <w:b/>
          <w:bCs/>
        </w:rPr>
        <w:t>UNDERSTANDING HOW THE CARRY OVER IMPACTS ON PAY IN LIEU</w:t>
      </w:r>
      <w:r w:rsidRPr="001E2F20">
        <w:rPr>
          <w:rFonts w:asciiTheme="majorHAnsi" w:hAnsiTheme="majorHAnsi"/>
          <w:b/>
          <w:bCs/>
        </w:rPr>
        <w:t xml:space="preserve"> </w:t>
      </w:r>
    </w:p>
    <w:bookmarkEnd w:id="5"/>
    <w:p w14:paraId="667EB6F0" w14:textId="77777777" w:rsidR="0068248B" w:rsidRDefault="0068248B" w:rsidP="004D68E5">
      <w:pPr>
        <w:rPr>
          <w:rFonts w:asciiTheme="majorHAnsi" w:hAnsiTheme="majorHAnsi"/>
        </w:rPr>
      </w:pPr>
    </w:p>
    <w:p w14:paraId="3058F335" w14:textId="1BA365A2" w:rsidR="00E6102E" w:rsidRPr="004D68E5" w:rsidRDefault="00E6102E" w:rsidP="004D68E5">
      <w:pPr>
        <w:rPr>
          <w:rFonts w:asciiTheme="majorHAnsi" w:hAnsiTheme="majorHAnsi"/>
        </w:rPr>
      </w:pPr>
      <w:r w:rsidRPr="004D68E5">
        <w:rPr>
          <w:rFonts w:asciiTheme="majorHAnsi" w:hAnsiTheme="majorHAnsi"/>
        </w:rPr>
        <w:t>If an employee leaves your organisation with untaken holiday, they should be paid this amount in lieu. This includes any leave that they have carried over, alongside any leave they have not taken in their current leave year.</w:t>
      </w:r>
    </w:p>
    <w:sectPr w:rsidR="00E6102E" w:rsidRPr="004D68E5" w:rsidSect="000849C2">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59D2" w14:textId="77777777" w:rsidR="00047D76" w:rsidRDefault="00047D76" w:rsidP="00C142FA">
      <w:r>
        <w:separator/>
      </w:r>
    </w:p>
  </w:endnote>
  <w:endnote w:type="continuationSeparator" w:id="0">
    <w:p w14:paraId="4C9DE6D8" w14:textId="77777777" w:rsidR="00047D76" w:rsidRDefault="00047D76"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EndPr/>
    <w:sdtContent>
      <w:sdt>
        <w:sdtPr>
          <w:rPr>
            <w:rFonts w:asciiTheme="majorHAnsi" w:hAnsiTheme="majorHAnsi"/>
            <w:sz w:val="16"/>
            <w:szCs w:val="16"/>
          </w:rPr>
          <w:id w:val="1728636285"/>
          <w:docPartObj>
            <w:docPartGallery w:val="Page Numbers (Top of Page)"/>
            <w:docPartUnique/>
          </w:docPartObj>
        </w:sdtPr>
        <w:sdtEnd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FBAE" w14:textId="77777777" w:rsidR="00047D76" w:rsidRDefault="00047D76" w:rsidP="00C142FA">
      <w:r>
        <w:separator/>
      </w:r>
    </w:p>
  </w:footnote>
  <w:footnote w:type="continuationSeparator" w:id="0">
    <w:p w14:paraId="211A479B" w14:textId="77777777" w:rsidR="00047D76" w:rsidRDefault="00047D76"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F514AA1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4DB0"/>
    <w:multiLevelType w:val="hybridMultilevel"/>
    <w:tmpl w:val="5E36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53E46"/>
    <w:multiLevelType w:val="hybridMultilevel"/>
    <w:tmpl w:val="7AAC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0D2B50"/>
    <w:multiLevelType w:val="hybridMultilevel"/>
    <w:tmpl w:val="C972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E7153"/>
    <w:multiLevelType w:val="hybridMultilevel"/>
    <w:tmpl w:val="7908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B7379"/>
    <w:multiLevelType w:val="hybridMultilevel"/>
    <w:tmpl w:val="7F9C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D6956"/>
    <w:multiLevelType w:val="hybridMultilevel"/>
    <w:tmpl w:val="A8D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1"/>
  </w:num>
  <w:num w:numId="2" w16cid:durableId="1762993600">
    <w:abstractNumId w:val="32"/>
  </w:num>
  <w:num w:numId="3" w16cid:durableId="220944037">
    <w:abstractNumId w:val="25"/>
  </w:num>
  <w:num w:numId="4" w16cid:durableId="337974594">
    <w:abstractNumId w:val="15"/>
  </w:num>
  <w:num w:numId="5" w16cid:durableId="1586114452">
    <w:abstractNumId w:val="33"/>
  </w:num>
  <w:num w:numId="6" w16cid:durableId="2117210908">
    <w:abstractNumId w:val="18"/>
  </w:num>
  <w:num w:numId="7" w16cid:durableId="1742561638">
    <w:abstractNumId w:val="24"/>
  </w:num>
  <w:num w:numId="8" w16cid:durableId="568460222">
    <w:abstractNumId w:val="14"/>
  </w:num>
  <w:num w:numId="9" w16cid:durableId="794982932">
    <w:abstractNumId w:val="16"/>
  </w:num>
  <w:num w:numId="10" w16cid:durableId="636491029">
    <w:abstractNumId w:val="5"/>
  </w:num>
  <w:num w:numId="11" w16cid:durableId="1929921380">
    <w:abstractNumId w:val="3"/>
  </w:num>
  <w:num w:numId="12" w16cid:durableId="753092946">
    <w:abstractNumId w:val="36"/>
  </w:num>
  <w:num w:numId="13" w16cid:durableId="77364619">
    <w:abstractNumId w:val="6"/>
  </w:num>
  <w:num w:numId="14" w16cid:durableId="1428892173">
    <w:abstractNumId w:val="29"/>
  </w:num>
  <w:num w:numId="15" w16cid:durableId="487092253">
    <w:abstractNumId w:val="20"/>
  </w:num>
  <w:num w:numId="16" w16cid:durableId="1951669803">
    <w:abstractNumId w:val="9"/>
  </w:num>
  <w:num w:numId="17" w16cid:durableId="1023441657">
    <w:abstractNumId w:val="34"/>
  </w:num>
  <w:num w:numId="18" w16cid:durableId="1339504600">
    <w:abstractNumId w:val="4"/>
  </w:num>
  <w:num w:numId="19" w16cid:durableId="1433158952">
    <w:abstractNumId w:val="21"/>
  </w:num>
  <w:num w:numId="20" w16cid:durableId="1818719086">
    <w:abstractNumId w:val="10"/>
  </w:num>
  <w:num w:numId="21" w16cid:durableId="565579066">
    <w:abstractNumId w:val="7"/>
  </w:num>
  <w:num w:numId="22" w16cid:durableId="704796775">
    <w:abstractNumId w:val="12"/>
  </w:num>
  <w:num w:numId="23" w16cid:durableId="1217667893">
    <w:abstractNumId w:val="31"/>
  </w:num>
  <w:num w:numId="24" w16cid:durableId="195626743">
    <w:abstractNumId w:val="28"/>
  </w:num>
  <w:num w:numId="25" w16cid:durableId="473958028">
    <w:abstractNumId w:val="26"/>
  </w:num>
  <w:num w:numId="26" w16cid:durableId="1861890067">
    <w:abstractNumId w:val="2"/>
  </w:num>
  <w:num w:numId="27" w16cid:durableId="102699404">
    <w:abstractNumId w:val="1"/>
  </w:num>
  <w:num w:numId="28" w16cid:durableId="1380856248">
    <w:abstractNumId w:val="8"/>
  </w:num>
  <w:num w:numId="29" w16cid:durableId="2063868212">
    <w:abstractNumId w:val="37"/>
  </w:num>
  <w:num w:numId="30" w16cid:durableId="713432368">
    <w:abstractNumId w:val="30"/>
  </w:num>
  <w:num w:numId="31" w16cid:durableId="765004371">
    <w:abstractNumId w:val="23"/>
  </w:num>
  <w:num w:numId="32" w16cid:durableId="1085492250">
    <w:abstractNumId w:val="0"/>
  </w:num>
  <w:num w:numId="33" w16cid:durableId="603539695">
    <w:abstractNumId w:val="19"/>
  </w:num>
  <w:num w:numId="34" w16cid:durableId="1338114572">
    <w:abstractNumId w:val="17"/>
  </w:num>
  <w:num w:numId="35" w16cid:durableId="860168389">
    <w:abstractNumId w:val="27"/>
  </w:num>
  <w:num w:numId="36" w16cid:durableId="201525088">
    <w:abstractNumId w:val="13"/>
  </w:num>
  <w:num w:numId="37" w16cid:durableId="585723379">
    <w:abstractNumId w:val="22"/>
  </w:num>
  <w:num w:numId="38" w16cid:durableId="400951989">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34799"/>
    <w:rsid w:val="0003586E"/>
    <w:rsid w:val="000378D1"/>
    <w:rsid w:val="00042B14"/>
    <w:rsid w:val="00047D76"/>
    <w:rsid w:val="0005338C"/>
    <w:rsid w:val="00054160"/>
    <w:rsid w:val="0005639C"/>
    <w:rsid w:val="00057F9E"/>
    <w:rsid w:val="00063008"/>
    <w:rsid w:val="00064588"/>
    <w:rsid w:val="000849C2"/>
    <w:rsid w:val="00087C51"/>
    <w:rsid w:val="0009260E"/>
    <w:rsid w:val="000A462F"/>
    <w:rsid w:val="000B072D"/>
    <w:rsid w:val="000B298B"/>
    <w:rsid w:val="000C5CD0"/>
    <w:rsid w:val="000D2CAE"/>
    <w:rsid w:val="000D4D4E"/>
    <w:rsid w:val="000E3E6C"/>
    <w:rsid w:val="000E651D"/>
    <w:rsid w:val="000F689D"/>
    <w:rsid w:val="00101C46"/>
    <w:rsid w:val="00104953"/>
    <w:rsid w:val="00120878"/>
    <w:rsid w:val="00121049"/>
    <w:rsid w:val="001261D5"/>
    <w:rsid w:val="00130B7E"/>
    <w:rsid w:val="00133A6B"/>
    <w:rsid w:val="001405DE"/>
    <w:rsid w:val="001457C7"/>
    <w:rsid w:val="00156920"/>
    <w:rsid w:val="00166BAC"/>
    <w:rsid w:val="001715B6"/>
    <w:rsid w:val="001736D0"/>
    <w:rsid w:val="0017523E"/>
    <w:rsid w:val="00177CAA"/>
    <w:rsid w:val="0019176B"/>
    <w:rsid w:val="00192A17"/>
    <w:rsid w:val="0019512B"/>
    <w:rsid w:val="00196AD2"/>
    <w:rsid w:val="001A1EB4"/>
    <w:rsid w:val="001A5033"/>
    <w:rsid w:val="001B2F4D"/>
    <w:rsid w:val="001B48A9"/>
    <w:rsid w:val="001B4C01"/>
    <w:rsid w:val="001B72A4"/>
    <w:rsid w:val="001C37B9"/>
    <w:rsid w:val="001D1FD9"/>
    <w:rsid w:val="001D4BF2"/>
    <w:rsid w:val="001E2F20"/>
    <w:rsid w:val="001E6688"/>
    <w:rsid w:val="00206F9C"/>
    <w:rsid w:val="00213577"/>
    <w:rsid w:val="0021775B"/>
    <w:rsid w:val="00220605"/>
    <w:rsid w:val="002402BE"/>
    <w:rsid w:val="00244494"/>
    <w:rsid w:val="00250B34"/>
    <w:rsid w:val="002516FB"/>
    <w:rsid w:val="00251D27"/>
    <w:rsid w:val="00253F0F"/>
    <w:rsid w:val="00254A63"/>
    <w:rsid w:val="002616A4"/>
    <w:rsid w:val="00272A7E"/>
    <w:rsid w:val="00274408"/>
    <w:rsid w:val="00275A31"/>
    <w:rsid w:val="00284298"/>
    <w:rsid w:val="00286C32"/>
    <w:rsid w:val="00294E28"/>
    <w:rsid w:val="002951C1"/>
    <w:rsid w:val="0029650A"/>
    <w:rsid w:val="002A3A18"/>
    <w:rsid w:val="002A706C"/>
    <w:rsid w:val="002C74FD"/>
    <w:rsid w:val="002D0F26"/>
    <w:rsid w:val="002D43AE"/>
    <w:rsid w:val="002E5E6E"/>
    <w:rsid w:val="002F5436"/>
    <w:rsid w:val="002F7E27"/>
    <w:rsid w:val="00326A20"/>
    <w:rsid w:val="003303FD"/>
    <w:rsid w:val="0033042E"/>
    <w:rsid w:val="0034185E"/>
    <w:rsid w:val="0034354F"/>
    <w:rsid w:val="00352F15"/>
    <w:rsid w:val="00361B2F"/>
    <w:rsid w:val="00362937"/>
    <w:rsid w:val="00362DF9"/>
    <w:rsid w:val="0036529E"/>
    <w:rsid w:val="003653BD"/>
    <w:rsid w:val="00366B0D"/>
    <w:rsid w:val="00366C97"/>
    <w:rsid w:val="00373CBD"/>
    <w:rsid w:val="003807D2"/>
    <w:rsid w:val="003827CD"/>
    <w:rsid w:val="0039330F"/>
    <w:rsid w:val="00393779"/>
    <w:rsid w:val="003963FD"/>
    <w:rsid w:val="003A3E4D"/>
    <w:rsid w:val="003A6D5F"/>
    <w:rsid w:val="003C150D"/>
    <w:rsid w:val="003C37C7"/>
    <w:rsid w:val="003C3D79"/>
    <w:rsid w:val="003D4EEF"/>
    <w:rsid w:val="003D524E"/>
    <w:rsid w:val="003D7A56"/>
    <w:rsid w:val="003E0626"/>
    <w:rsid w:val="003F1CA3"/>
    <w:rsid w:val="003F2AF4"/>
    <w:rsid w:val="003F367D"/>
    <w:rsid w:val="004022AC"/>
    <w:rsid w:val="004053EC"/>
    <w:rsid w:val="004074D6"/>
    <w:rsid w:val="004136CB"/>
    <w:rsid w:val="00422F10"/>
    <w:rsid w:val="004303BE"/>
    <w:rsid w:val="0043156E"/>
    <w:rsid w:val="0043391D"/>
    <w:rsid w:val="00434620"/>
    <w:rsid w:val="0043713D"/>
    <w:rsid w:val="004401CA"/>
    <w:rsid w:val="00441F22"/>
    <w:rsid w:val="00455D25"/>
    <w:rsid w:val="0045660E"/>
    <w:rsid w:val="004626B5"/>
    <w:rsid w:val="004664AE"/>
    <w:rsid w:val="00472046"/>
    <w:rsid w:val="004739DE"/>
    <w:rsid w:val="004803CC"/>
    <w:rsid w:val="00481F5E"/>
    <w:rsid w:val="00482D04"/>
    <w:rsid w:val="00486A10"/>
    <w:rsid w:val="00490211"/>
    <w:rsid w:val="00495CA3"/>
    <w:rsid w:val="004967F7"/>
    <w:rsid w:val="004A41D8"/>
    <w:rsid w:val="004A6DDE"/>
    <w:rsid w:val="004A7CF7"/>
    <w:rsid w:val="004B0265"/>
    <w:rsid w:val="004B3E23"/>
    <w:rsid w:val="004B41AD"/>
    <w:rsid w:val="004B48E3"/>
    <w:rsid w:val="004B687A"/>
    <w:rsid w:val="004C7BDB"/>
    <w:rsid w:val="004D369B"/>
    <w:rsid w:val="004D50F5"/>
    <w:rsid w:val="004D68E5"/>
    <w:rsid w:val="004E5304"/>
    <w:rsid w:val="004E56D6"/>
    <w:rsid w:val="004F0410"/>
    <w:rsid w:val="0051244A"/>
    <w:rsid w:val="00512D19"/>
    <w:rsid w:val="00514C70"/>
    <w:rsid w:val="00526389"/>
    <w:rsid w:val="00532A87"/>
    <w:rsid w:val="0053573E"/>
    <w:rsid w:val="005368B0"/>
    <w:rsid w:val="00536F93"/>
    <w:rsid w:val="00537B6E"/>
    <w:rsid w:val="00537C69"/>
    <w:rsid w:val="00541CC7"/>
    <w:rsid w:val="0054269D"/>
    <w:rsid w:val="0054506B"/>
    <w:rsid w:val="005571CA"/>
    <w:rsid w:val="00557EBF"/>
    <w:rsid w:val="00564B48"/>
    <w:rsid w:val="005659FC"/>
    <w:rsid w:val="00594CDB"/>
    <w:rsid w:val="005975C3"/>
    <w:rsid w:val="005B3504"/>
    <w:rsid w:val="005C42C8"/>
    <w:rsid w:val="005D05CB"/>
    <w:rsid w:val="005D4D06"/>
    <w:rsid w:val="005D78AB"/>
    <w:rsid w:val="005E02A7"/>
    <w:rsid w:val="005E1FC9"/>
    <w:rsid w:val="005E55F3"/>
    <w:rsid w:val="005E7D09"/>
    <w:rsid w:val="005F0FED"/>
    <w:rsid w:val="005F1898"/>
    <w:rsid w:val="005F7BFF"/>
    <w:rsid w:val="006029DB"/>
    <w:rsid w:val="006218CE"/>
    <w:rsid w:val="0062505B"/>
    <w:rsid w:val="00625F29"/>
    <w:rsid w:val="0064150B"/>
    <w:rsid w:val="00642600"/>
    <w:rsid w:val="00650294"/>
    <w:rsid w:val="00660700"/>
    <w:rsid w:val="006645C0"/>
    <w:rsid w:val="00670B9D"/>
    <w:rsid w:val="0067409A"/>
    <w:rsid w:val="00675103"/>
    <w:rsid w:val="006752DE"/>
    <w:rsid w:val="00682345"/>
    <w:rsid w:val="0068248B"/>
    <w:rsid w:val="00685EBA"/>
    <w:rsid w:val="00686A24"/>
    <w:rsid w:val="0068772B"/>
    <w:rsid w:val="00693A7A"/>
    <w:rsid w:val="006A0010"/>
    <w:rsid w:val="006A5CFF"/>
    <w:rsid w:val="006A6503"/>
    <w:rsid w:val="006A6E07"/>
    <w:rsid w:val="006B2963"/>
    <w:rsid w:val="006C36DB"/>
    <w:rsid w:val="006C6F8B"/>
    <w:rsid w:val="006E2CBD"/>
    <w:rsid w:val="006E5084"/>
    <w:rsid w:val="006E5E42"/>
    <w:rsid w:val="006E629D"/>
    <w:rsid w:val="006F10B9"/>
    <w:rsid w:val="006F7EF8"/>
    <w:rsid w:val="00704B7F"/>
    <w:rsid w:val="00706508"/>
    <w:rsid w:val="00706854"/>
    <w:rsid w:val="00706CCF"/>
    <w:rsid w:val="007175FE"/>
    <w:rsid w:val="00723997"/>
    <w:rsid w:val="007316A1"/>
    <w:rsid w:val="00735EBB"/>
    <w:rsid w:val="00743016"/>
    <w:rsid w:val="00747AD4"/>
    <w:rsid w:val="00751282"/>
    <w:rsid w:val="007524D1"/>
    <w:rsid w:val="00753810"/>
    <w:rsid w:val="00756555"/>
    <w:rsid w:val="00762E0E"/>
    <w:rsid w:val="00765156"/>
    <w:rsid w:val="00765469"/>
    <w:rsid w:val="00770202"/>
    <w:rsid w:val="00777121"/>
    <w:rsid w:val="00795C8C"/>
    <w:rsid w:val="007A1F45"/>
    <w:rsid w:val="007A2FC2"/>
    <w:rsid w:val="007B0285"/>
    <w:rsid w:val="007B0ABE"/>
    <w:rsid w:val="007C653D"/>
    <w:rsid w:val="007D2360"/>
    <w:rsid w:val="007D2C31"/>
    <w:rsid w:val="007D3007"/>
    <w:rsid w:val="007D59D3"/>
    <w:rsid w:val="007E036C"/>
    <w:rsid w:val="007F5600"/>
    <w:rsid w:val="007F62B1"/>
    <w:rsid w:val="00815429"/>
    <w:rsid w:val="008179B8"/>
    <w:rsid w:val="00825609"/>
    <w:rsid w:val="00825E04"/>
    <w:rsid w:val="0083268A"/>
    <w:rsid w:val="0083582D"/>
    <w:rsid w:val="00841531"/>
    <w:rsid w:val="0085059A"/>
    <w:rsid w:val="0087658A"/>
    <w:rsid w:val="00876D2F"/>
    <w:rsid w:val="008813FB"/>
    <w:rsid w:val="00890BCD"/>
    <w:rsid w:val="00892546"/>
    <w:rsid w:val="00893EDB"/>
    <w:rsid w:val="008941C0"/>
    <w:rsid w:val="00896AAB"/>
    <w:rsid w:val="00897465"/>
    <w:rsid w:val="008A0AE7"/>
    <w:rsid w:val="008A25D7"/>
    <w:rsid w:val="008B0146"/>
    <w:rsid w:val="008B5E62"/>
    <w:rsid w:val="008C4E7B"/>
    <w:rsid w:val="008C5216"/>
    <w:rsid w:val="008D667F"/>
    <w:rsid w:val="008D7C37"/>
    <w:rsid w:val="008E283B"/>
    <w:rsid w:val="008F3AC2"/>
    <w:rsid w:val="00921979"/>
    <w:rsid w:val="00924587"/>
    <w:rsid w:val="0093580E"/>
    <w:rsid w:val="0096053F"/>
    <w:rsid w:val="00960D12"/>
    <w:rsid w:val="00962979"/>
    <w:rsid w:val="00974865"/>
    <w:rsid w:val="009758B7"/>
    <w:rsid w:val="00977667"/>
    <w:rsid w:val="0098187E"/>
    <w:rsid w:val="00991C30"/>
    <w:rsid w:val="009C1C11"/>
    <w:rsid w:val="009C4342"/>
    <w:rsid w:val="009C626D"/>
    <w:rsid w:val="009D1DE6"/>
    <w:rsid w:val="009D5AF0"/>
    <w:rsid w:val="009D6301"/>
    <w:rsid w:val="009F6E67"/>
    <w:rsid w:val="00A029E2"/>
    <w:rsid w:val="00A0363D"/>
    <w:rsid w:val="00A03AC8"/>
    <w:rsid w:val="00A113A2"/>
    <w:rsid w:val="00A20B4E"/>
    <w:rsid w:val="00A242F7"/>
    <w:rsid w:val="00A31998"/>
    <w:rsid w:val="00A32859"/>
    <w:rsid w:val="00A338FA"/>
    <w:rsid w:val="00A36DAF"/>
    <w:rsid w:val="00A4193D"/>
    <w:rsid w:val="00A43FD5"/>
    <w:rsid w:val="00A44FEE"/>
    <w:rsid w:val="00A476AF"/>
    <w:rsid w:val="00A47D4D"/>
    <w:rsid w:val="00A52C80"/>
    <w:rsid w:val="00A56C94"/>
    <w:rsid w:val="00A672FE"/>
    <w:rsid w:val="00A70502"/>
    <w:rsid w:val="00A77C29"/>
    <w:rsid w:val="00A820C9"/>
    <w:rsid w:val="00A82958"/>
    <w:rsid w:val="00A84C95"/>
    <w:rsid w:val="00A917DE"/>
    <w:rsid w:val="00A91808"/>
    <w:rsid w:val="00A91840"/>
    <w:rsid w:val="00A959D8"/>
    <w:rsid w:val="00AA6C4D"/>
    <w:rsid w:val="00AB25CC"/>
    <w:rsid w:val="00AB283B"/>
    <w:rsid w:val="00AC29B7"/>
    <w:rsid w:val="00AD1351"/>
    <w:rsid w:val="00AE044D"/>
    <w:rsid w:val="00AE095E"/>
    <w:rsid w:val="00AE50DE"/>
    <w:rsid w:val="00AE6105"/>
    <w:rsid w:val="00AF0ACA"/>
    <w:rsid w:val="00AF182B"/>
    <w:rsid w:val="00B01EBE"/>
    <w:rsid w:val="00B06985"/>
    <w:rsid w:val="00B079C0"/>
    <w:rsid w:val="00B1424F"/>
    <w:rsid w:val="00B26CD6"/>
    <w:rsid w:val="00B30AC1"/>
    <w:rsid w:val="00B3580B"/>
    <w:rsid w:val="00B40E8D"/>
    <w:rsid w:val="00B5030C"/>
    <w:rsid w:val="00B51884"/>
    <w:rsid w:val="00B53866"/>
    <w:rsid w:val="00B7180E"/>
    <w:rsid w:val="00B7245D"/>
    <w:rsid w:val="00B8252F"/>
    <w:rsid w:val="00BA18D8"/>
    <w:rsid w:val="00BA419A"/>
    <w:rsid w:val="00BA5959"/>
    <w:rsid w:val="00BC7C01"/>
    <w:rsid w:val="00BD29ED"/>
    <w:rsid w:val="00BD4342"/>
    <w:rsid w:val="00BD573B"/>
    <w:rsid w:val="00BD5F36"/>
    <w:rsid w:val="00BE6D6A"/>
    <w:rsid w:val="00BF25E8"/>
    <w:rsid w:val="00BF60D8"/>
    <w:rsid w:val="00C01447"/>
    <w:rsid w:val="00C0633F"/>
    <w:rsid w:val="00C10CDD"/>
    <w:rsid w:val="00C130B0"/>
    <w:rsid w:val="00C142FA"/>
    <w:rsid w:val="00C20BA0"/>
    <w:rsid w:val="00C22266"/>
    <w:rsid w:val="00C26AC3"/>
    <w:rsid w:val="00C27CC1"/>
    <w:rsid w:val="00C32546"/>
    <w:rsid w:val="00C3267A"/>
    <w:rsid w:val="00C35BCD"/>
    <w:rsid w:val="00C41C29"/>
    <w:rsid w:val="00C4459F"/>
    <w:rsid w:val="00C44D5F"/>
    <w:rsid w:val="00C525AB"/>
    <w:rsid w:val="00C52B0C"/>
    <w:rsid w:val="00C56BCF"/>
    <w:rsid w:val="00C60CA6"/>
    <w:rsid w:val="00C66631"/>
    <w:rsid w:val="00C66FA2"/>
    <w:rsid w:val="00C817AE"/>
    <w:rsid w:val="00C97ADA"/>
    <w:rsid w:val="00CA0A54"/>
    <w:rsid w:val="00CA4759"/>
    <w:rsid w:val="00CA6139"/>
    <w:rsid w:val="00CB5664"/>
    <w:rsid w:val="00CC3A36"/>
    <w:rsid w:val="00CD0A33"/>
    <w:rsid w:val="00CF0D5A"/>
    <w:rsid w:val="00D052DA"/>
    <w:rsid w:val="00D06272"/>
    <w:rsid w:val="00D06275"/>
    <w:rsid w:val="00D26D52"/>
    <w:rsid w:val="00D31C97"/>
    <w:rsid w:val="00D35353"/>
    <w:rsid w:val="00D40367"/>
    <w:rsid w:val="00D42A8F"/>
    <w:rsid w:val="00D46748"/>
    <w:rsid w:val="00D51FB0"/>
    <w:rsid w:val="00D523D9"/>
    <w:rsid w:val="00D618DB"/>
    <w:rsid w:val="00D67ED8"/>
    <w:rsid w:val="00D735B0"/>
    <w:rsid w:val="00D74E16"/>
    <w:rsid w:val="00D76CA5"/>
    <w:rsid w:val="00D83CFB"/>
    <w:rsid w:val="00D85079"/>
    <w:rsid w:val="00D86A25"/>
    <w:rsid w:val="00D937A2"/>
    <w:rsid w:val="00D95473"/>
    <w:rsid w:val="00D95D14"/>
    <w:rsid w:val="00D97108"/>
    <w:rsid w:val="00DA21DC"/>
    <w:rsid w:val="00DB25D6"/>
    <w:rsid w:val="00DC0C74"/>
    <w:rsid w:val="00DD199E"/>
    <w:rsid w:val="00DD383A"/>
    <w:rsid w:val="00DD5B60"/>
    <w:rsid w:val="00DE2637"/>
    <w:rsid w:val="00DE590F"/>
    <w:rsid w:val="00DF543D"/>
    <w:rsid w:val="00E04731"/>
    <w:rsid w:val="00E238FA"/>
    <w:rsid w:val="00E23F2B"/>
    <w:rsid w:val="00E31CBB"/>
    <w:rsid w:val="00E34E1C"/>
    <w:rsid w:val="00E45E26"/>
    <w:rsid w:val="00E563BA"/>
    <w:rsid w:val="00E6102E"/>
    <w:rsid w:val="00E61FA4"/>
    <w:rsid w:val="00E62874"/>
    <w:rsid w:val="00E64618"/>
    <w:rsid w:val="00E6564C"/>
    <w:rsid w:val="00E6624E"/>
    <w:rsid w:val="00E80A47"/>
    <w:rsid w:val="00E82812"/>
    <w:rsid w:val="00E84FF3"/>
    <w:rsid w:val="00E87F41"/>
    <w:rsid w:val="00E9421D"/>
    <w:rsid w:val="00E972EE"/>
    <w:rsid w:val="00EA791A"/>
    <w:rsid w:val="00EB3162"/>
    <w:rsid w:val="00EB367A"/>
    <w:rsid w:val="00EB7966"/>
    <w:rsid w:val="00EC2DCA"/>
    <w:rsid w:val="00ED1633"/>
    <w:rsid w:val="00ED4A5E"/>
    <w:rsid w:val="00ED63B0"/>
    <w:rsid w:val="00EE62C3"/>
    <w:rsid w:val="00F02854"/>
    <w:rsid w:val="00F06058"/>
    <w:rsid w:val="00F07BC3"/>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3A40"/>
    <w:rsid w:val="00F86C3D"/>
    <w:rsid w:val="00F90F7C"/>
    <w:rsid w:val="00F96078"/>
    <w:rsid w:val="00FA55FD"/>
    <w:rsid w:val="00FB1DB9"/>
    <w:rsid w:val="00FB2DE0"/>
    <w:rsid w:val="00FB3BDC"/>
    <w:rsid w:val="00FB60F5"/>
    <w:rsid w:val="00FB6942"/>
    <w:rsid w:val="00FD3A82"/>
    <w:rsid w:val="00FD7BE2"/>
    <w:rsid w:val="00FF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563BA"/>
    <w:pPr>
      <w:spacing w:before="100" w:beforeAutospacing="1" w:after="100" w:afterAutospacing="1"/>
    </w:pPr>
  </w:style>
  <w:style w:type="character" w:customStyle="1" w:styleId="BodyTextChar">
    <w:name w:val="Body Text Char"/>
    <w:basedOn w:val="DefaultParagraphFont"/>
    <w:link w:val="BodyText"/>
    <w:uiPriority w:val="99"/>
    <w:semiHidden/>
    <w:rsid w:val="00E563BA"/>
    <w:rPr>
      <w:rFonts w:ascii="Times New Roman" w:eastAsia="Times New Roman" w:hAnsi="Times New Roman" w:cs="Times New Roman"/>
      <w:kern w:val="0"/>
      <w:lang w:eastAsia="en-GB"/>
      <w14:ligatures w14:val="none"/>
    </w:rPr>
  </w:style>
  <w:style w:type="paragraph" w:customStyle="1" w:styleId="FirstParagraph">
    <w:name w:val="First Paragraph"/>
    <w:basedOn w:val="BodyText"/>
    <w:next w:val="BodyText"/>
    <w:qFormat/>
    <w:rsid w:val="00E6102E"/>
    <w:pPr>
      <w:spacing w:before="180" w:beforeAutospacing="0" w:after="180" w:afterAutospacing="0"/>
    </w:pPr>
    <w:rPr>
      <w:rFonts w:asciiTheme="minorHAnsi" w:eastAsiaTheme="minorHAnsi" w:hAnsiTheme="minorHAnsi" w:cstheme="minorBidi"/>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10411</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Mrozinski, Babs</cp:lastModifiedBy>
  <cp:revision>41</cp:revision>
  <cp:lastPrinted>2025-02-06T16:18:00Z</cp:lastPrinted>
  <dcterms:created xsi:type="dcterms:W3CDTF">2025-12-19T15:48:00Z</dcterms:created>
  <dcterms:modified xsi:type="dcterms:W3CDTF">2026-01-01T13:37:00Z</dcterms:modified>
</cp:coreProperties>
</file>