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F2BC" w14:textId="0E676B43" w:rsidR="009C626D" w:rsidRPr="009A1EEC" w:rsidRDefault="007059A0" w:rsidP="0025116B">
      <w:pPr>
        <w:pStyle w:val="NoSpacing"/>
        <w:rPr>
          <w:rFonts w:asciiTheme="majorHAnsi" w:hAnsiTheme="majorHAnsi"/>
          <w:b/>
          <w:bCs/>
        </w:rPr>
      </w:pPr>
      <w:r w:rsidRPr="009A1EEC">
        <w:rPr>
          <w:rFonts w:asciiTheme="majorHAnsi" w:hAnsiTheme="majorHAnsi"/>
          <w:b/>
          <w:bCs/>
        </w:rPr>
        <w:t>HOW TO</w:t>
      </w:r>
      <w:r w:rsidR="009C626D" w:rsidRPr="009A1EEC">
        <w:rPr>
          <w:rFonts w:asciiTheme="majorHAnsi" w:hAnsiTheme="majorHAnsi"/>
          <w:b/>
          <w:bCs/>
        </w:rPr>
        <w:t xml:space="preserve"> </w:t>
      </w:r>
      <w:r w:rsidR="007D37BE" w:rsidRPr="009A1EEC">
        <w:rPr>
          <w:rFonts w:asciiTheme="majorHAnsi" w:hAnsiTheme="majorHAnsi"/>
          <w:b/>
          <w:bCs/>
        </w:rPr>
        <w:t>CALCULATE ANNUAL LEAVE FOR PART-YEAR AND IRREGULAR HOURS STAFF</w:t>
      </w:r>
    </w:p>
    <w:p w14:paraId="500F8471" w14:textId="77777777" w:rsidR="00F56289" w:rsidRPr="0025116B" w:rsidRDefault="00F56289" w:rsidP="0025116B">
      <w:pPr>
        <w:pStyle w:val="NoSpacing"/>
        <w:rPr>
          <w:rFonts w:asciiTheme="majorHAnsi" w:hAnsiTheme="majorHAnsi"/>
        </w:rPr>
      </w:pPr>
    </w:p>
    <w:tbl>
      <w:tblPr>
        <w:tblStyle w:val="TableGrid"/>
        <w:tblW w:w="0" w:type="auto"/>
        <w:tblLook w:val="04A0" w:firstRow="1" w:lastRow="0" w:firstColumn="1" w:lastColumn="0" w:noHBand="0" w:noVBand="1"/>
      </w:tblPr>
      <w:tblGrid>
        <w:gridCol w:w="1054"/>
        <w:gridCol w:w="8348"/>
      </w:tblGrid>
      <w:tr w:rsidR="00D83CFB" w:rsidRPr="0025116B" w14:paraId="788703A2" w14:textId="77777777" w:rsidTr="00F96B56">
        <w:tc>
          <w:tcPr>
            <w:tcW w:w="1054" w:type="dxa"/>
            <w:shd w:val="clear" w:color="auto" w:fill="D9D9D9" w:themeFill="background1" w:themeFillShade="D9"/>
          </w:tcPr>
          <w:p w14:paraId="303FEB37" w14:textId="7FA84F13" w:rsidR="00D83CFB" w:rsidRPr="0025116B" w:rsidRDefault="00A43FD5" w:rsidP="0025116B">
            <w:pPr>
              <w:pStyle w:val="NoSpacing"/>
              <w:rPr>
                <w:rFonts w:asciiTheme="majorHAnsi" w:hAnsiTheme="majorHAnsi"/>
                <w:highlight w:val="lightGray"/>
              </w:rPr>
            </w:pPr>
            <w:r w:rsidRPr="0025116B">
              <w:rPr>
                <w:rFonts w:asciiTheme="majorHAnsi" w:hAnsiTheme="majorHAnsi"/>
                <w:highlight w:val="lightGray"/>
              </w:rPr>
              <w:t>Section</w:t>
            </w:r>
          </w:p>
        </w:tc>
        <w:tc>
          <w:tcPr>
            <w:tcW w:w="8348" w:type="dxa"/>
            <w:shd w:val="clear" w:color="auto" w:fill="D9D9D9" w:themeFill="background1" w:themeFillShade="D9"/>
          </w:tcPr>
          <w:p w14:paraId="1F2F66CA" w14:textId="77777777" w:rsidR="00D83CFB" w:rsidRPr="0025116B" w:rsidRDefault="00D83CFB" w:rsidP="0025116B">
            <w:pPr>
              <w:pStyle w:val="NoSpacing"/>
              <w:rPr>
                <w:rFonts w:asciiTheme="majorHAnsi" w:hAnsiTheme="majorHAnsi"/>
                <w:highlight w:val="lightGray"/>
              </w:rPr>
            </w:pPr>
          </w:p>
        </w:tc>
      </w:tr>
      <w:tr w:rsidR="00D83CFB" w:rsidRPr="0025116B" w14:paraId="17B1A520" w14:textId="77777777" w:rsidTr="00F96B56">
        <w:tc>
          <w:tcPr>
            <w:tcW w:w="1054" w:type="dxa"/>
          </w:tcPr>
          <w:p w14:paraId="6EA35D27" w14:textId="0F32958C" w:rsidR="00D83CFB" w:rsidRPr="0025116B" w:rsidRDefault="00D83CFB" w:rsidP="0025116B">
            <w:pPr>
              <w:pStyle w:val="NoSpacing"/>
              <w:rPr>
                <w:rFonts w:asciiTheme="majorHAnsi" w:hAnsiTheme="majorHAnsi"/>
              </w:rPr>
            </w:pPr>
            <w:r w:rsidRPr="0025116B">
              <w:rPr>
                <w:rFonts w:asciiTheme="majorHAnsi" w:hAnsiTheme="majorHAnsi"/>
              </w:rPr>
              <w:t>1</w:t>
            </w:r>
          </w:p>
        </w:tc>
        <w:tc>
          <w:tcPr>
            <w:tcW w:w="8348" w:type="dxa"/>
          </w:tcPr>
          <w:p w14:paraId="0C399263" w14:textId="4E2734DC" w:rsidR="00D83CFB" w:rsidRPr="0025116B" w:rsidRDefault="00654A98" w:rsidP="0025116B">
            <w:pPr>
              <w:pStyle w:val="NoSpacing"/>
              <w:rPr>
                <w:rFonts w:asciiTheme="majorHAnsi" w:hAnsiTheme="majorHAnsi"/>
              </w:rPr>
            </w:pPr>
            <w:r w:rsidRPr="0025116B">
              <w:rPr>
                <w:rFonts w:asciiTheme="majorHAnsi" w:hAnsiTheme="majorHAnsi"/>
              </w:rPr>
              <w:t>Entitlement</w:t>
            </w:r>
          </w:p>
        </w:tc>
      </w:tr>
      <w:tr w:rsidR="00D83CFB" w:rsidRPr="0025116B" w14:paraId="645254A8" w14:textId="77777777" w:rsidTr="00F96B56">
        <w:tc>
          <w:tcPr>
            <w:tcW w:w="1054" w:type="dxa"/>
          </w:tcPr>
          <w:p w14:paraId="15188934" w14:textId="229FDCD3" w:rsidR="00D83CFB" w:rsidRPr="0025116B" w:rsidRDefault="00D83CFB" w:rsidP="0025116B">
            <w:pPr>
              <w:pStyle w:val="NoSpacing"/>
              <w:rPr>
                <w:rFonts w:asciiTheme="majorHAnsi" w:hAnsiTheme="majorHAnsi"/>
              </w:rPr>
            </w:pPr>
            <w:r w:rsidRPr="0025116B">
              <w:rPr>
                <w:rFonts w:asciiTheme="majorHAnsi" w:hAnsiTheme="majorHAnsi"/>
              </w:rPr>
              <w:t>2</w:t>
            </w:r>
          </w:p>
        </w:tc>
        <w:tc>
          <w:tcPr>
            <w:tcW w:w="8348" w:type="dxa"/>
          </w:tcPr>
          <w:p w14:paraId="69545BCA" w14:textId="3D6BF144" w:rsidR="00D83CFB" w:rsidRPr="0025116B" w:rsidRDefault="00E84CE2" w:rsidP="0025116B">
            <w:pPr>
              <w:pStyle w:val="NoSpacing"/>
              <w:rPr>
                <w:rFonts w:asciiTheme="majorHAnsi" w:hAnsiTheme="majorHAnsi"/>
              </w:rPr>
            </w:pPr>
            <w:r w:rsidRPr="0025116B">
              <w:rPr>
                <w:rFonts w:asciiTheme="majorHAnsi" w:hAnsiTheme="majorHAnsi"/>
              </w:rPr>
              <w:t>Part-year</w:t>
            </w:r>
            <w:r w:rsidR="002C7B48" w:rsidRPr="0025116B">
              <w:rPr>
                <w:rFonts w:asciiTheme="majorHAnsi" w:hAnsiTheme="majorHAnsi"/>
              </w:rPr>
              <w:t>/Irregular hours workers</w:t>
            </w:r>
          </w:p>
        </w:tc>
      </w:tr>
      <w:tr w:rsidR="00D83CFB" w:rsidRPr="0025116B" w14:paraId="60CC62BB" w14:textId="77777777" w:rsidTr="00F96B56">
        <w:tc>
          <w:tcPr>
            <w:tcW w:w="1054" w:type="dxa"/>
          </w:tcPr>
          <w:p w14:paraId="4586B009" w14:textId="69E750A2" w:rsidR="00D83CFB" w:rsidRPr="0025116B" w:rsidRDefault="00D83CFB" w:rsidP="0025116B">
            <w:pPr>
              <w:pStyle w:val="NoSpacing"/>
              <w:rPr>
                <w:rFonts w:asciiTheme="majorHAnsi" w:hAnsiTheme="majorHAnsi"/>
              </w:rPr>
            </w:pPr>
            <w:r w:rsidRPr="0025116B">
              <w:rPr>
                <w:rFonts w:asciiTheme="majorHAnsi" w:hAnsiTheme="majorHAnsi"/>
              </w:rPr>
              <w:t>3</w:t>
            </w:r>
          </w:p>
        </w:tc>
        <w:tc>
          <w:tcPr>
            <w:tcW w:w="8348" w:type="dxa"/>
          </w:tcPr>
          <w:p w14:paraId="5B1C1E89" w14:textId="5B80F2C9" w:rsidR="00D83CFB" w:rsidRPr="0025116B" w:rsidRDefault="00340073" w:rsidP="0025116B">
            <w:pPr>
              <w:pStyle w:val="NoSpacing"/>
              <w:rPr>
                <w:rFonts w:asciiTheme="majorHAnsi" w:hAnsiTheme="majorHAnsi"/>
              </w:rPr>
            </w:pPr>
            <w:r w:rsidRPr="0025116B">
              <w:rPr>
                <w:rFonts w:asciiTheme="majorHAnsi" w:hAnsiTheme="majorHAnsi"/>
              </w:rPr>
              <w:t>When to prorate holidays</w:t>
            </w:r>
          </w:p>
        </w:tc>
      </w:tr>
      <w:tr w:rsidR="00D83CFB" w:rsidRPr="0025116B" w14:paraId="5199EB0C" w14:textId="77777777" w:rsidTr="00F96B56">
        <w:tc>
          <w:tcPr>
            <w:tcW w:w="1054" w:type="dxa"/>
          </w:tcPr>
          <w:p w14:paraId="1BF48E88" w14:textId="6A0D49B7" w:rsidR="00D83CFB" w:rsidRPr="0025116B" w:rsidRDefault="00D83CFB" w:rsidP="0025116B">
            <w:pPr>
              <w:pStyle w:val="NoSpacing"/>
              <w:rPr>
                <w:rFonts w:asciiTheme="majorHAnsi" w:hAnsiTheme="majorHAnsi"/>
              </w:rPr>
            </w:pPr>
            <w:r w:rsidRPr="0025116B">
              <w:rPr>
                <w:rFonts w:asciiTheme="majorHAnsi" w:hAnsiTheme="majorHAnsi"/>
              </w:rPr>
              <w:t>4</w:t>
            </w:r>
          </w:p>
        </w:tc>
        <w:tc>
          <w:tcPr>
            <w:tcW w:w="8348" w:type="dxa"/>
          </w:tcPr>
          <w:p w14:paraId="100CAEC8" w14:textId="07B31E2A" w:rsidR="00D83CFB" w:rsidRPr="0025116B" w:rsidRDefault="00626827" w:rsidP="0025116B">
            <w:pPr>
              <w:pStyle w:val="NoSpacing"/>
              <w:rPr>
                <w:rFonts w:asciiTheme="majorHAnsi" w:hAnsiTheme="majorHAnsi"/>
              </w:rPr>
            </w:pPr>
            <w:r w:rsidRPr="0025116B">
              <w:rPr>
                <w:rFonts w:asciiTheme="majorHAnsi" w:hAnsiTheme="majorHAnsi"/>
              </w:rPr>
              <w:t>Calculating leave entitlement</w:t>
            </w:r>
          </w:p>
        </w:tc>
      </w:tr>
      <w:tr w:rsidR="00384077" w:rsidRPr="0025116B" w14:paraId="5F343255" w14:textId="77777777" w:rsidTr="00F96B56">
        <w:tc>
          <w:tcPr>
            <w:tcW w:w="1054" w:type="dxa"/>
          </w:tcPr>
          <w:p w14:paraId="39737F3F" w14:textId="4879DB47" w:rsidR="00384077" w:rsidRPr="0025116B" w:rsidRDefault="00481D71" w:rsidP="0025116B">
            <w:pPr>
              <w:pStyle w:val="NoSpacing"/>
              <w:rPr>
                <w:rFonts w:asciiTheme="majorHAnsi" w:hAnsiTheme="majorHAnsi"/>
              </w:rPr>
            </w:pPr>
            <w:r w:rsidRPr="0025116B">
              <w:rPr>
                <w:rFonts w:asciiTheme="majorHAnsi" w:hAnsiTheme="majorHAnsi"/>
              </w:rPr>
              <w:t>5</w:t>
            </w:r>
          </w:p>
        </w:tc>
        <w:tc>
          <w:tcPr>
            <w:tcW w:w="8348" w:type="dxa"/>
          </w:tcPr>
          <w:p w14:paraId="1EE55680" w14:textId="01AA0499" w:rsidR="00384077" w:rsidRPr="0025116B" w:rsidRDefault="001C194E" w:rsidP="0025116B">
            <w:pPr>
              <w:pStyle w:val="NoSpacing"/>
              <w:rPr>
                <w:rFonts w:asciiTheme="majorHAnsi" w:hAnsiTheme="majorHAnsi"/>
              </w:rPr>
            </w:pPr>
            <w:r w:rsidRPr="0025116B">
              <w:rPr>
                <w:rFonts w:asciiTheme="majorHAnsi" w:hAnsiTheme="majorHAnsi"/>
              </w:rPr>
              <w:t>Example calculation – irregular hours or part-year worker holiday</w:t>
            </w:r>
          </w:p>
        </w:tc>
      </w:tr>
      <w:tr w:rsidR="00D83CFB" w:rsidRPr="0025116B" w14:paraId="29587E65" w14:textId="77777777" w:rsidTr="00F96B56">
        <w:tc>
          <w:tcPr>
            <w:tcW w:w="1054" w:type="dxa"/>
          </w:tcPr>
          <w:p w14:paraId="18DB14A3" w14:textId="30C2E99B" w:rsidR="00D83CFB" w:rsidRPr="0025116B" w:rsidRDefault="00481D71" w:rsidP="0025116B">
            <w:pPr>
              <w:pStyle w:val="NoSpacing"/>
              <w:rPr>
                <w:rFonts w:asciiTheme="majorHAnsi" w:hAnsiTheme="majorHAnsi"/>
              </w:rPr>
            </w:pPr>
            <w:r w:rsidRPr="0025116B">
              <w:rPr>
                <w:rFonts w:asciiTheme="majorHAnsi" w:hAnsiTheme="majorHAnsi"/>
              </w:rPr>
              <w:t>6</w:t>
            </w:r>
          </w:p>
        </w:tc>
        <w:tc>
          <w:tcPr>
            <w:tcW w:w="8348" w:type="dxa"/>
          </w:tcPr>
          <w:p w14:paraId="27B36C8F" w14:textId="755DD9DA" w:rsidR="00D83CFB" w:rsidRPr="0025116B" w:rsidRDefault="00847E14" w:rsidP="0025116B">
            <w:pPr>
              <w:pStyle w:val="NoSpacing"/>
              <w:rPr>
                <w:rFonts w:asciiTheme="majorHAnsi" w:hAnsiTheme="majorHAnsi"/>
              </w:rPr>
            </w:pPr>
            <w:r w:rsidRPr="0025116B">
              <w:rPr>
                <w:rFonts w:asciiTheme="majorHAnsi" w:hAnsiTheme="majorHAnsi"/>
              </w:rPr>
              <w:t>Calculating holiday pay</w:t>
            </w:r>
          </w:p>
        </w:tc>
      </w:tr>
      <w:tr w:rsidR="00D83CFB" w:rsidRPr="0025116B" w14:paraId="25E28198" w14:textId="77777777" w:rsidTr="00F96B56">
        <w:tc>
          <w:tcPr>
            <w:tcW w:w="1054" w:type="dxa"/>
          </w:tcPr>
          <w:p w14:paraId="1B1BE1F9" w14:textId="5550F9B6" w:rsidR="00D83CFB" w:rsidRPr="0025116B" w:rsidRDefault="00481D71" w:rsidP="0025116B">
            <w:pPr>
              <w:pStyle w:val="NoSpacing"/>
              <w:rPr>
                <w:rFonts w:asciiTheme="majorHAnsi" w:hAnsiTheme="majorHAnsi"/>
              </w:rPr>
            </w:pPr>
            <w:r w:rsidRPr="0025116B">
              <w:rPr>
                <w:rFonts w:asciiTheme="majorHAnsi" w:hAnsiTheme="majorHAnsi"/>
              </w:rPr>
              <w:t>7</w:t>
            </w:r>
          </w:p>
        </w:tc>
        <w:tc>
          <w:tcPr>
            <w:tcW w:w="8348" w:type="dxa"/>
          </w:tcPr>
          <w:p w14:paraId="17B8C176" w14:textId="43B489DD" w:rsidR="00D83CFB" w:rsidRPr="0025116B" w:rsidRDefault="000103A5" w:rsidP="0025116B">
            <w:pPr>
              <w:pStyle w:val="NoSpacing"/>
              <w:rPr>
                <w:rFonts w:asciiTheme="majorHAnsi" w:hAnsiTheme="majorHAnsi"/>
              </w:rPr>
            </w:pPr>
            <w:r w:rsidRPr="0025116B">
              <w:rPr>
                <w:rFonts w:asciiTheme="majorHAnsi" w:hAnsiTheme="majorHAnsi"/>
              </w:rPr>
              <w:t>Example calculation – average weekly pay</w:t>
            </w:r>
          </w:p>
        </w:tc>
      </w:tr>
      <w:tr w:rsidR="00D83CFB" w:rsidRPr="0025116B" w14:paraId="7F8FDE79" w14:textId="77777777" w:rsidTr="00F96B56">
        <w:tc>
          <w:tcPr>
            <w:tcW w:w="1054" w:type="dxa"/>
          </w:tcPr>
          <w:p w14:paraId="7D9260C2" w14:textId="7C34053A" w:rsidR="00D83CFB" w:rsidRPr="0025116B" w:rsidRDefault="00481D71" w:rsidP="0025116B">
            <w:pPr>
              <w:pStyle w:val="NoSpacing"/>
              <w:rPr>
                <w:rFonts w:asciiTheme="majorHAnsi" w:hAnsiTheme="majorHAnsi"/>
              </w:rPr>
            </w:pPr>
            <w:r w:rsidRPr="0025116B">
              <w:rPr>
                <w:rFonts w:asciiTheme="majorHAnsi" w:hAnsiTheme="majorHAnsi"/>
              </w:rPr>
              <w:t>8</w:t>
            </w:r>
          </w:p>
        </w:tc>
        <w:tc>
          <w:tcPr>
            <w:tcW w:w="8348" w:type="dxa"/>
          </w:tcPr>
          <w:p w14:paraId="7396E9AF" w14:textId="1011994B" w:rsidR="00D83CFB" w:rsidRPr="0025116B" w:rsidRDefault="004F56CA" w:rsidP="0025116B">
            <w:pPr>
              <w:pStyle w:val="NoSpacing"/>
              <w:rPr>
                <w:rFonts w:asciiTheme="majorHAnsi" w:hAnsiTheme="majorHAnsi"/>
              </w:rPr>
            </w:pPr>
            <w:r w:rsidRPr="0025116B">
              <w:rPr>
                <w:rFonts w:asciiTheme="majorHAnsi" w:hAnsiTheme="majorHAnsi"/>
              </w:rPr>
              <w:t>Paying holiday pay to part-year or irregular hours workers</w:t>
            </w:r>
          </w:p>
        </w:tc>
      </w:tr>
      <w:tr w:rsidR="00F96B56" w:rsidRPr="0025116B" w14:paraId="0D251671" w14:textId="77777777" w:rsidTr="00F96B56">
        <w:tc>
          <w:tcPr>
            <w:tcW w:w="1054" w:type="dxa"/>
          </w:tcPr>
          <w:p w14:paraId="4D56CA8E" w14:textId="53121A61" w:rsidR="00F96B56" w:rsidRPr="0025116B" w:rsidRDefault="00481D71" w:rsidP="0025116B">
            <w:pPr>
              <w:pStyle w:val="NoSpacing"/>
              <w:rPr>
                <w:rFonts w:asciiTheme="majorHAnsi" w:hAnsiTheme="majorHAnsi"/>
              </w:rPr>
            </w:pPr>
            <w:r w:rsidRPr="0025116B">
              <w:rPr>
                <w:rFonts w:asciiTheme="majorHAnsi" w:hAnsiTheme="majorHAnsi"/>
              </w:rPr>
              <w:t>9</w:t>
            </w:r>
          </w:p>
        </w:tc>
        <w:tc>
          <w:tcPr>
            <w:tcW w:w="8348" w:type="dxa"/>
          </w:tcPr>
          <w:p w14:paraId="15A59A81" w14:textId="7294453D" w:rsidR="00F96B56" w:rsidRPr="0025116B" w:rsidRDefault="00F96B56" w:rsidP="0025116B">
            <w:pPr>
              <w:pStyle w:val="NoSpacing"/>
              <w:rPr>
                <w:rFonts w:asciiTheme="majorHAnsi" w:hAnsiTheme="majorHAnsi"/>
              </w:rPr>
            </w:pPr>
            <w:r w:rsidRPr="0025116B">
              <w:rPr>
                <w:rFonts w:asciiTheme="majorHAnsi" w:hAnsiTheme="majorHAnsi"/>
              </w:rPr>
              <w:t>Resolving holiday calculation errors</w:t>
            </w:r>
          </w:p>
        </w:tc>
      </w:tr>
      <w:tr w:rsidR="00F96B56" w:rsidRPr="0025116B" w14:paraId="39F89356" w14:textId="77777777" w:rsidTr="00F96B56">
        <w:tc>
          <w:tcPr>
            <w:tcW w:w="1054" w:type="dxa"/>
          </w:tcPr>
          <w:p w14:paraId="62DA9CC7" w14:textId="58119DBA" w:rsidR="00F96B56" w:rsidRPr="0025116B" w:rsidRDefault="00481D71" w:rsidP="0025116B">
            <w:pPr>
              <w:pStyle w:val="NoSpacing"/>
              <w:rPr>
                <w:rFonts w:asciiTheme="majorHAnsi" w:hAnsiTheme="majorHAnsi"/>
              </w:rPr>
            </w:pPr>
            <w:r w:rsidRPr="0025116B">
              <w:rPr>
                <w:rFonts w:asciiTheme="majorHAnsi" w:hAnsiTheme="majorHAnsi"/>
              </w:rPr>
              <w:t>10</w:t>
            </w:r>
          </w:p>
        </w:tc>
        <w:tc>
          <w:tcPr>
            <w:tcW w:w="8348" w:type="dxa"/>
          </w:tcPr>
          <w:p w14:paraId="77BD732E" w14:textId="446AB0EF" w:rsidR="00F96B56" w:rsidRPr="0025116B" w:rsidRDefault="00F96B56" w:rsidP="0025116B">
            <w:pPr>
              <w:pStyle w:val="NoSpacing"/>
              <w:rPr>
                <w:rFonts w:asciiTheme="majorHAnsi" w:hAnsiTheme="majorHAnsi"/>
              </w:rPr>
            </w:pPr>
            <w:r w:rsidRPr="0025116B">
              <w:rPr>
                <w:rFonts w:asciiTheme="majorHAnsi" w:hAnsiTheme="majorHAnsi"/>
              </w:rPr>
              <w:t>Consequences of failing to give sufficient holiday</w:t>
            </w:r>
          </w:p>
        </w:tc>
      </w:tr>
    </w:tbl>
    <w:p w14:paraId="1CF42510" w14:textId="77777777" w:rsidR="009C626D" w:rsidRPr="0025116B" w:rsidRDefault="009C626D" w:rsidP="0025116B">
      <w:pPr>
        <w:pStyle w:val="NoSpacing"/>
        <w:rPr>
          <w:rFonts w:asciiTheme="majorHAnsi" w:hAnsiTheme="majorHAnsi"/>
        </w:rPr>
      </w:pPr>
    </w:p>
    <w:p w14:paraId="2565019A" w14:textId="6BD680CD" w:rsidR="00133A6B" w:rsidRPr="009A1EEC" w:rsidRDefault="00F56289" w:rsidP="00DD4D75">
      <w:pPr>
        <w:pStyle w:val="NoSpacing"/>
        <w:shd w:val="clear" w:color="auto" w:fill="D9D9D9" w:themeFill="background1" w:themeFillShade="D9"/>
        <w:rPr>
          <w:rFonts w:asciiTheme="majorHAnsi" w:hAnsiTheme="majorHAnsi"/>
          <w:b/>
          <w:bCs/>
        </w:rPr>
      </w:pPr>
      <w:r w:rsidRPr="009A1EEC">
        <w:rPr>
          <w:rFonts w:asciiTheme="majorHAnsi" w:hAnsiTheme="majorHAnsi"/>
          <w:b/>
          <w:bCs/>
        </w:rPr>
        <w:t>1.</w:t>
      </w:r>
      <w:r w:rsidR="004664AE" w:rsidRPr="009A1EEC">
        <w:rPr>
          <w:rFonts w:asciiTheme="majorHAnsi" w:hAnsiTheme="majorHAnsi"/>
          <w:b/>
          <w:bCs/>
        </w:rPr>
        <w:t xml:space="preserve"> </w:t>
      </w:r>
      <w:r w:rsidR="00844878" w:rsidRPr="009A1EEC">
        <w:rPr>
          <w:rFonts w:asciiTheme="majorHAnsi" w:hAnsiTheme="majorHAnsi"/>
          <w:b/>
          <w:bCs/>
        </w:rPr>
        <w:t>ENTITLEMENT</w:t>
      </w:r>
    </w:p>
    <w:p w14:paraId="7EF966D9" w14:textId="77777777" w:rsidR="00675103" w:rsidRPr="0025116B" w:rsidRDefault="00675103" w:rsidP="0025116B">
      <w:pPr>
        <w:pStyle w:val="NoSpacing"/>
        <w:rPr>
          <w:rFonts w:asciiTheme="majorHAnsi" w:hAnsiTheme="majorHAnsi"/>
        </w:rPr>
      </w:pPr>
    </w:p>
    <w:p w14:paraId="1C9CEFDA" w14:textId="77777777" w:rsidR="003242E8" w:rsidRDefault="003242E8" w:rsidP="0025116B">
      <w:pPr>
        <w:pStyle w:val="NoSpacing"/>
        <w:rPr>
          <w:rFonts w:asciiTheme="majorHAnsi" w:hAnsiTheme="majorHAnsi"/>
        </w:rPr>
      </w:pPr>
      <w:r w:rsidRPr="0025116B">
        <w:rPr>
          <w:rFonts w:asciiTheme="majorHAnsi" w:hAnsiTheme="majorHAnsi"/>
        </w:rPr>
        <w:t>Under the Working Time Regulations 1998 (WTR), all workers (including employees) are entitled to 5.6 weeks’ annual leave. For someone who works five days a week, this is 28 days. 28 days is the maximum statutory annual leave that must be given.</w:t>
      </w:r>
    </w:p>
    <w:p w14:paraId="14C45625" w14:textId="77777777" w:rsidR="00FB7164" w:rsidRPr="0025116B" w:rsidRDefault="00FB7164" w:rsidP="0025116B">
      <w:pPr>
        <w:pStyle w:val="NoSpacing"/>
        <w:rPr>
          <w:rFonts w:asciiTheme="majorHAnsi" w:hAnsiTheme="majorHAnsi"/>
        </w:rPr>
      </w:pPr>
    </w:p>
    <w:p w14:paraId="4BAA363E" w14:textId="77777777" w:rsidR="003242E8" w:rsidRPr="0025116B" w:rsidRDefault="003242E8" w:rsidP="0025116B">
      <w:pPr>
        <w:pStyle w:val="NoSpacing"/>
        <w:rPr>
          <w:rFonts w:asciiTheme="majorHAnsi" w:hAnsiTheme="majorHAnsi"/>
        </w:rPr>
      </w:pPr>
      <w:r w:rsidRPr="0025116B">
        <w:rPr>
          <w:rFonts w:asciiTheme="majorHAnsi" w:hAnsiTheme="majorHAnsi"/>
        </w:rPr>
        <w:t>Complications have arisen over the years in calculating this for those that work for less than five days a week, or less than 52 weeks in a year. For part-time workers, working 52 weeks a year but less than five days, the solution is simple: their weekly days or hours worked are multiplied by 5.6 to get their yearly entitlement. For those, however, who are not required to work for 52 weeks in the year but are permanently employed (</w:t>
      </w:r>
      <w:proofErr w:type="spellStart"/>
      <w:r w:rsidRPr="0025116B">
        <w:rPr>
          <w:rFonts w:asciiTheme="majorHAnsi" w:hAnsiTheme="majorHAnsi"/>
        </w:rPr>
        <w:t>ie</w:t>
      </w:r>
      <w:proofErr w:type="spellEnd"/>
      <w:r w:rsidRPr="0025116B">
        <w:rPr>
          <w:rFonts w:asciiTheme="majorHAnsi" w:hAnsiTheme="majorHAnsi"/>
        </w:rPr>
        <w:t xml:space="preserve"> not on a fixed-term contract), things are a little more difficult.</w:t>
      </w:r>
    </w:p>
    <w:p w14:paraId="1128BADE" w14:textId="77777777" w:rsidR="00FB7164" w:rsidRDefault="00FB7164" w:rsidP="0025116B">
      <w:pPr>
        <w:pStyle w:val="NoSpacing"/>
        <w:rPr>
          <w:rFonts w:asciiTheme="majorHAnsi" w:hAnsiTheme="majorHAnsi"/>
        </w:rPr>
      </w:pPr>
    </w:p>
    <w:p w14:paraId="5BEFBD44" w14:textId="4D326A3C" w:rsidR="003242E8" w:rsidRPr="0025116B" w:rsidRDefault="003242E8" w:rsidP="0025116B">
      <w:pPr>
        <w:pStyle w:val="NoSpacing"/>
        <w:rPr>
          <w:rFonts w:asciiTheme="majorHAnsi" w:hAnsiTheme="majorHAnsi"/>
        </w:rPr>
      </w:pPr>
      <w:r w:rsidRPr="0025116B">
        <w:rPr>
          <w:rFonts w:asciiTheme="majorHAnsi" w:hAnsiTheme="majorHAnsi"/>
        </w:rPr>
        <w:t xml:space="preserve">In 2022, the Supreme Court handed down its judgment in </w:t>
      </w:r>
      <w:r w:rsidRPr="00E17061">
        <w:rPr>
          <w:rFonts w:asciiTheme="majorHAnsi" w:hAnsiTheme="majorHAnsi"/>
        </w:rPr>
        <w:t>Harpur Trust v Brazel</w:t>
      </w:r>
      <w:r w:rsidRPr="0025116B">
        <w:rPr>
          <w:rFonts w:asciiTheme="majorHAnsi" w:hAnsiTheme="majorHAnsi"/>
        </w:rPr>
        <w:t xml:space="preserve">. The court ruled in this case that part-year workers must be given 5.6 weeks’ annual leave, and this cannot be prorated in accordance with the number of weeks they work in a year. This judgment had serious and far-reaching consequences. In response, the Government made </w:t>
      </w:r>
      <w:proofErr w:type="gramStart"/>
      <w:r w:rsidRPr="0025116B">
        <w:rPr>
          <w:rFonts w:asciiTheme="majorHAnsi" w:hAnsiTheme="majorHAnsi"/>
        </w:rPr>
        <w:t>a number of</w:t>
      </w:r>
      <w:proofErr w:type="gramEnd"/>
      <w:r w:rsidRPr="0025116B">
        <w:rPr>
          <w:rFonts w:asciiTheme="majorHAnsi" w:hAnsiTheme="majorHAnsi"/>
        </w:rPr>
        <w:t xml:space="preserve"> changes to how holidays are calculated and dealt with, which came into force on 1 January 2024 and from 1 April 2024 for further changes.</w:t>
      </w:r>
    </w:p>
    <w:p w14:paraId="1CDB2B11" w14:textId="77777777" w:rsidR="00FB7164" w:rsidRDefault="00FB7164" w:rsidP="0025116B">
      <w:pPr>
        <w:pStyle w:val="NoSpacing"/>
        <w:rPr>
          <w:rFonts w:asciiTheme="majorHAnsi" w:hAnsiTheme="majorHAnsi"/>
        </w:rPr>
      </w:pPr>
    </w:p>
    <w:p w14:paraId="0C25AB4A" w14:textId="600B60E4" w:rsidR="008813FB" w:rsidRPr="00DD4D75" w:rsidRDefault="00C4459F" w:rsidP="00DD4D75">
      <w:pPr>
        <w:pStyle w:val="NoSpacing"/>
        <w:shd w:val="clear" w:color="auto" w:fill="D9D9D9" w:themeFill="background1" w:themeFillShade="D9"/>
        <w:rPr>
          <w:rFonts w:asciiTheme="majorHAnsi" w:hAnsiTheme="majorHAnsi"/>
          <w:b/>
          <w:bCs/>
        </w:rPr>
      </w:pPr>
      <w:r w:rsidRPr="00FB7164">
        <w:rPr>
          <w:rFonts w:asciiTheme="majorHAnsi" w:hAnsiTheme="majorHAnsi"/>
          <w:b/>
          <w:bCs/>
        </w:rPr>
        <w:t xml:space="preserve">2. </w:t>
      </w:r>
      <w:r w:rsidR="0050766C" w:rsidRPr="00FB7164">
        <w:rPr>
          <w:rFonts w:asciiTheme="majorHAnsi" w:hAnsiTheme="majorHAnsi"/>
          <w:b/>
          <w:bCs/>
        </w:rPr>
        <w:t>PART-YEAR/IRREGULAR HOURS WORKERS</w:t>
      </w:r>
    </w:p>
    <w:p w14:paraId="689DB7E1" w14:textId="77777777" w:rsidR="00DD4D75" w:rsidRDefault="00DD4D75" w:rsidP="0025116B">
      <w:pPr>
        <w:pStyle w:val="NoSpacing"/>
        <w:rPr>
          <w:rFonts w:asciiTheme="majorHAnsi" w:hAnsiTheme="majorHAnsi"/>
        </w:rPr>
      </w:pPr>
    </w:p>
    <w:p w14:paraId="62C166B6" w14:textId="2F90FF45" w:rsidR="000373B0" w:rsidRDefault="000373B0" w:rsidP="0025116B">
      <w:pPr>
        <w:pStyle w:val="NoSpacing"/>
        <w:rPr>
          <w:rFonts w:asciiTheme="majorHAnsi" w:hAnsiTheme="majorHAnsi"/>
        </w:rPr>
      </w:pPr>
      <w:r w:rsidRPr="0025116B">
        <w:rPr>
          <w:rFonts w:asciiTheme="majorHAnsi" w:hAnsiTheme="majorHAnsi"/>
        </w:rPr>
        <w:t>Since 1 January 2024, Regulation 15F of the WTR has provided definitions for part-year and irregular hours workers. These are as follows:</w:t>
      </w:r>
    </w:p>
    <w:p w14:paraId="43416BC6" w14:textId="77777777" w:rsidR="00FB7164" w:rsidRPr="0025116B" w:rsidRDefault="00FB7164" w:rsidP="0025116B">
      <w:pPr>
        <w:pStyle w:val="NoSpacing"/>
        <w:rPr>
          <w:rFonts w:asciiTheme="majorHAnsi" w:hAnsiTheme="majorHAnsi"/>
        </w:rPr>
      </w:pPr>
    </w:p>
    <w:p w14:paraId="308E3274" w14:textId="6E491243" w:rsidR="000373B0" w:rsidRPr="0025116B" w:rsidRDefault="000373B0" w:rsidP="00D24100">
      <w:pPr>
        <w:pStyle w:val="NoSpacing"/>
        <w:numPr>
          <w:ilvl w:val="0"/>
          <w:numId w:val="34"/>
        </w:numPr>
        <w:rPr>
          <w:rFonts w:asciiTheme="majorHAnsi" w:hAnsiTheme="majorHAnsi"/>
        </w:rPr>
      </w:pPr>
      <w:r w:rsidRPr="0025116B">
        <w:rPr>
          <w:rFonts w:asciiTheme="majorHAnsi" w:hAnsiTheme="majorHAnsi"/>
        </w:rPr>
        <w:t xml:space="preserve">a worker is an irregular </w:t>
      </w:r>
      <w:proofErr w:type="gramStart"/>
      <w:r w:rsidRPr="0025116B">
        <w:rPr>
          <w:rFonts w:asciiTheme="majorHAnsi" w:hAnsiTheme="majorHAnsi"/>
        </w:rPr>
        <w:t>hours</w:t>
      </w:r>
      <w:proofErr w:type="gramEnd"/>
      <w:r w:rsidRPr="0025116B">
        <w:rPr>
          <w:rFonts w:asciiTheme="majorHAnsi" w:hAnsiTheme="majorHAnsi"/>
        </w:rPr>
        <w:t xml:space="preserve"> worker, in relation to a leave year, if the number of paid hours that they will work in each pay period during the term of their contract in that year is, under the terms of their contract, wholly or mostly variable</w:t>
      </w:r>
    </w:p>
    <w:p w14:paraId="5A3259EA" w14:textId="6C41EE8E" w:rsidR="000373B0" w:rsidRDefault="000373B0" w:rsidP="00D24100">
      <w:pPr>
        <w:pStyle w:val="NoSpacing"/>
        <w:numPr>
          <w:ilvl w:val="0"/>
          <w:numId w:val="34"/>
        </w:numPr>
        <w:rPr>
          <w:rFonts w:asciiTheme="majorHAnsi" w:hAnsiTheme="majorHAnsi"/>
        </w:rPr>
      </w:pPr>
      <w:r w:rsidRPr="0025116B">
        <w:rPr>
          <w:rFonts w:asciiTheme="majorHAnsi" w:hAnsiTheme="majorHAnsi"/>
        </w:rPr>
        <w:t>a worker is a part-year worker, in relation to a leave year, if, under the terms of their contract, they are required to work only part of that year and there are periods within that year (during the term of the contract) of at least a week which they are not required to work and for which they are not paid.</w:t>
      </w:r>
    </w:p>
    <w:p w14:paraId="4C29DA20" w14:textId="77777777" w:rsidR="00D24100" w:rsidRPr="0025116B" w:rsidRDefault="00D24100" w:rsidP="00D24100">
      <w:pPr>
        <w:pStyle w:val="NoSpacing"/>
        <w:ind w:left="720"/>
        <w:rPr>
          <w:rFonts w:asciiTheme="majorHAnsi" w:hAnsiTheme="majorHAnsi"/>
        </w:rPr>
      </w:pPr>
    </w:p>
    <w:p w14:paraId="58B054AD" w14:textId="77777777" w:rsidR="000373B0" w:rsidRPr="0025116B" w:rsidRDefault="000373B0" w:rsidP="0025116B">
      <w:pPr>
        <w:pStyle w:val="NoSpacing"/>
        <w:rPr>
          <w:rFonts w:asciiTheme="majorHAnsi" w:hAnsiTheme="majorHAnsi"/>
        </w:rPr>
      </w:pPr>
      <w:r w:rsidRPr="0025116B">
        <w:rPr>
          <w:rFonts w:asciiTheme="majorHAnsi" w:hAnsiTheme="majorHAnsi"/>
        </w:rPr>
        <w:lastRenderedPageBreak/>
        <w:t>In contrast, a part-time worker is anyone who works every week of the year but on fewer days or hours than a full-time colleague. A part-time pattern might mean they work three days per week instead of five, or four hours per day instead of eight, but they work 52 weeks per year. It's important to understand the difference between a part-year and irregular hours worker, and a part-time worker as the holiday calculation is different for each.</w:t>
      </w:r>
    </w:p>
    <w:p w14:paraId="651F92A0" w14:textId="77777777" w:rsidR="005C42C8" w:rsidRPr="0025116B" w:rsidRDefault="005C42C8" w:rsidP="0025116B">
      <w:pPr>
        <w:pStyle w:val="NoSpacing"/>
        <w:rPr>
          <w:rFonts w:asciiTheme="majorHAnsi" w:hAnsiTheme="majorHAnsi"/>
        </w:rPr>
      </w:pPr>
    </w:p>
    <w:p w14:paraId="75A605D4" w14:textId="32F3E8F3" w:rsidR="0051033C" w:rsidRPr="00DD4D75" w:rsidRDefault="005C42C8" w:rsidP="00DD4D75">
      <w:pPr>
        <w:pStyle w:val="NoSpacing"/>
        <w:shd w:val="clear" w:color="auto" w:fill="D9D9D9" w:themeFill="background1" w:themeFillShade="D9"/>
        <w:rPr>
          <w:rFonts w:asciiTheme="majorHAnsi" w:hAnsiTheme="majorHAnsi"/>
          <w:b/>
          <w:bCs/>
        </w:rPr>
      </w:pPr>
      <w:r w:rsidRPr="0051033C">
        <w:rPr>
          <w:rFonts w:asciiTheme="majorHAnsi" w:hAnsiTheme="majorHAnsi"/>
          <w:b/>
          <w:bCs/>
        </w:rPr>
        <w:t xml:space="preserve">3. </w:t>
      </w:r>
      <w:r w:rsidR="00F874AA" w:rsidRPr="0051033C">
        <w:rPr>
          <w:rFonts w:asciiTheme="majorHAnsi" w:hAnsiTheme="majorHAnsi"/>
          <w:b/>
          <w:bCs/>
        </w:rPr>
        <w:t>WHEN TO PRORATE HOLIDAYS</w:t>
      </w:r>
    </w:p>
    <w:p w14:paraId="77B2CE40" w14:textId="77777777" w:rsidR="00DD4D75" w:rsidRDefault="00DD4D75" w:rsidP="0025116B">
      <w:pPr>
        <w:pStyle w:val="NoSpacing"/>
        <w:rPr>
          <w:rFonts w:asciiTheme="majorHAnsi" w:hAnsiTheme="majorHAnsi"/>
        </w:rPr>
      </w:pPr>
    </w:p>
    <w:p w14:paraId="6346FD3A" w14:textId="523C8B24" w:rsidR="00136CF4" w:rsidRDefault="00136CF4" w:rsidP="0025116B">
      <w:pPr>
        <w:pStyle w:val="NoSpacing"/>
        <w:rPr>
          <w:rFonts w:asciiTheme="majorHAnsi" w:hAnsiTheme="majorHAnsi"/>
        </w:rPr>
      </w:pPr>
      <w:r w:rsidRPr="0025116B">
        <w:rPr>
          <w:rFonts w:asciiTheme="majorHAnsi" w:hAnsiTheme="majorHAnsi"/>
        </w:rPr>
        <w:t>Annual leave can be prorated for a part-time worker. This is anyone who works 52 weeks per year but on fewer days/hours than a full-time colleague. For example, someone who works three days per week instead of five. This person would be entitled to 16.8 days’ annual leave instead of 28 days (5.6 x 3 = 16.8 days).</w:t>
      </w:r>
    </w:p>
    <w:p w14:paraId="4FFE6C31" w14:textId="77777777" w:rsidR="00A1348D" w:rsidRPr="0025116B" w:rsidRDefault="00A1348D" w:rsidP="0025116B">
      <w:pPr>
        <w:pStyle w:val="NoSpacing"/>
        <w:rPr>
          <w:rFonts w:asciiTheme="majorHAnsi" w:hAnsiTheme="majorHAnsi"/>
        </w:rPr>
      </w:pPr>
    </w:p>
    <w:p w14:paraId="356D8478" w14:textId="77777777" w:rsidR="00136CF4" w:rsidRPr="0025116B" w:rsidRDefault="00136CF4" w:rsidP="0025116B">
      <w:pPr>
        <w:pStyle w:val="NoSpacing"/>
        <w:rPr>
          <w:rFonts w:asciiTheme="majorHAnsi" w:hAnsiTheme="majorHAnsi"/>
        </w:rPr>
      </w:pPr>
      <w:r w:rsidRPr="0025116B">
        <w:rPr>
          <w:rFonts w:asciiTheme="majorHAnsi" w:hAnsiTheme="majorHAnsi"/>
        </w:rPr>
        <w:t>Annual leave can also be prorated for fixed-term contracts, where there is a clearly agreed date for when the employment will end. For example, if an employee is contracted to work for three months only to cover a busy period (eg summer holidays), their holiday entitlement will be 1.4 weeks. This is worked out by dividing 5.6 by 12 months then multiplying by three months (5.6/12 x 3 = 1.4 weeks).</w:t>
      </w:r>
    </w:p>
    <w:p w14:paraId="28A7A51B" w14:textId="77777777" w:rsidR="00A1348D" w:rsidRDefault="00A1348D" w:rsidP="0025116B">
      <w:pPr>
        <w:pStyle w:val="NoSpacing"/>
        <w:rPr>
          <w:rFonts w:asciiTheme="majorHAnsi" w:hAnsiTheme="majorHAnsi"/>
        </w:rPr>
      </w:pPr>
    </w:p>
    <w:p w14:paraId="457FC6BC" w14:textId="6E8969AB" w:rsidR="00136CF4" w:rsidRPr="0025116B" w:rsidRDefault="00136CF4" w:rsidP="0025116B">
      <w:pPr>
        <w:pStyle w:val="NoSpacing"/>
        <w:rPr>
          <w:rFonts w:asciiTheme="majorHAnsi" w:hAnsiTheme="majorHAnsi"/>
        </w:rPr>
      </w:pPr>
      <w:r w:rsidRPr="0025116B">
        <w:rPr>
          <w:rFonts w:asciiTheme="majorHAnsi" w:hAnsiTheme="majorHAnsi"/>
        </w:rPr>
        <w:t>It is also possible to prorate annual leave for new starters and leavers (eg someone who starts and/or leaves during an annual leave year), so that the entitlement is only based on full months worked under the contract.</w:t>
      </w:r>
    </w:p>
    <w:p w14:paraId="3BE6C4EE" w14:textId="77777777" w:rsidR="00A1348D" w:rsidRDefault="00A1348D" w:rsidP="0025116B">
      <w:pPr>
        <w:pStyle w:val="NoSpacing"/>
        <w:rPr>
          <w:rFonts w:asciiTheme="majorHAnsi" w:hAnsiTheme="majorHAnsi"/>
        </w:rPr>
      </w:pPr>
    </w:p>
    <w:p w14:paraId="51F7FDA7" w14:textId="4275CA82" w:rsidR="00136CF4" w:rsidRPr="0025116B" w:rsidRDefault="00136CF4" w:rsidP="0025116B">
      <w:pPr>
        <w:pStyle w:val="NoSpacing"/>
        <w:rPr>
          <w:rFonts w:asciiTheme="majorHAnsi" w:hAnsiTheme="majorHAnsi"/>
        </w:rPr>
      </w:pPr>
      <w:r w:rsidRPr="0025116B">
        <w:rPr>
          <w:rFonts w:asciiTheme="majorHAnsi" w:hAnsiTheme="majorHAnsi"/>
        </w:rPr>
        <w:t>Finally, it is once again possible to prorate annual leave for part-year and irregular hour workers after the Government used reforms to the WTR to reverse the impact of the Harpur Trust case. This can be applied to all annual leave years that begin on or after 1 April 2024 (some employers may therefore need to wait until January 2025 to implement these changes).</w:t>
      </w:r>
    </w:p>
    <w:p w14:paraId="4EB35BFE" w14:textId="77777777" w:rsidR="00A1348D" w:rsidRDefault="00A1348D" w:rsidP="0025116B">
      <w:pPr>
        <w:pStyle w:val="NoSpacing"/>
        <w:rPr>
          <w:rFonts w:asciiTheme="majorHAnsi" w:hAnsiTheme="majorHAnsi"/>
        </w:rPr>
      </w:pPr>
    </w:p>
    <w:p w14:paraId="6ACB9D44" w14:textId="1F1DA0ED" w:rsidR="00EB7966" w:rsidRPr="0025116B" w:rsidRDefault="00136CF4" w:rsidP="0025116B">
      <w:pPr>
        <w:pStyle w:val="NoSpacing"/>
        <w:rPr>
          <w:rFonts w:asciiTheme="majorHAnsi" w:hAnsiTheme="majorHAnsi"/>
        </w:rPr>
      </w:pPr>
      <w:r w:rsidRPr="0025116B">
        <w:rPr>
          <w:rFonts w:asciiTheme="majorHAnsi" w:hAnsiTheme="majorHAnsi"/>
        </w:rPr>
        <w:t xml:space="preserve">Annual leave for these workers is based on the hours worked in the pay reference period. To calculate statutory entitlement, 12.07% of the hours worked in the pay reference period is used. Alternatively, employers can choose to continue to give these workers 5.6 weeks’ annual leave, </w:t>
      </w:r>
      <w:proofErr w:type="gramStart"/>
      <w:r w:rsidRPr="0025116B">
        <w:rPr>
          <w:rFonts w:asciiTheme="majorHAnsi" w:hAnsiTheme="majorHAnsi"/>
        </w:rPr>
        <w:t>as long as</w:t>
      </w:r>
      <w:proofErr w:type="gramEnd"/>
      <w:r w:rsidRPr="0025116B">
        <w:rPr>
          <w:rFonts w:asciiTheme="majorHAnsi" w:hAnsiTheme="majorHAnsi"/>
        </w:rPr>
        <w:t xml:space="preserve"> that results in holiday entitlement that is no less than would be given using the 12.07% method.</w:t>
      </w:r>
    </w:p>
    <w:p w14:paraId="28333DD8" w14:textId="77777777" w:rsidR="00A1348D" w:rsidRDefault="00A1348D" w:rsidP="0025116B">
      <w:pPr>
        <w:pStyle w:val="NoSpacing"/>
        <w:rPr>
          <w:rFonts w:asciiTheme="majorHAnsi" w:hAnsiTheme="majorHAnsi"/>
        </w:rPr>
      </w:pPr>
    </w:p>
    <w:p w14:paraId="32A3151E" w14:textId="532C9914" w:rsidR="00EB7966" w:rsidRPr="00A1348D" w:rsidRDefault="00EB7966" w:rsidP="00DD4D75">
      <w:pPr>
        <w:pStyle w:val="NoSpacing"/>
        <w:shd w:val="clear" w:color="auto" w:fill="D9D9D9" w:themeFill="background1" w:themeFillShade="D9"/>
        <w:rPr>
          <w:rFonts w:asciiTheme="majorHAnsi" w:hAnsiTheme="majorHAnsi"/>
          <w:b/>
          <w:bCs/>
        </w:rPr>
      </w:pPr>
      <w:r w:rsidRPr="00A1348D">
        <w:rPr>
          <w:rFonts w:asciiTheme="majorHAnsi" w:hAnsiTheme="majorHAnsi"/>
          <w:b/>
          <w:bCs/>
        </w:rPr>
        <w:t>4.</w:t>
      </w:r>
      <w:r w:rsidR="00E973A4" w:rsidRPr="00A1348D">
        <w:rPr>
          <w:rFonts w:asciiTheme="majorHAnsi" w:hAnsiTheme="majorHAnsi"/>
          <w:b/>
          <w:bCs/>
        </w:rPr>
        <w:t xml:space="preserve"> CALCULATING LEAVE ENTITLEMENT</w:t>
      </w:r>
    </w:p>
    <w:p w14:paraId="36E92C8A" w14:textId="77777777" w:rsidR="00F007FD" w:rsidRDefault="00F007FD" w:rsidP="0025116B">
      <w:pPr>
        <w:pStyle w:val="NoSpacing"/>
        <w:rPr>
          <w:rFonts w:asciiTheme="majorHAnsi" w:hAnsiTheme="majorHAnsi"/>
        </w:rPr>
      </w:pPr>
    </w:p>
    <w:p w14:paraId="029BD808" w14:textId="1EE79FC6" w:rsidR="00DB568E" w:rsidRPr="0025116B" w:rsidRDefault="00DB568E" w:rsidP="0025116B">
      <w:pPr>
        <w:pStyle w:val="NoSpacing"/>
        <w:rPr>
          <w:rFonts w:asciiTheme="majorHAnsi" w:hAnsiTheme="majorHAnsi"/>
        </w:rPr>
      </w:pPr>
      <w:r w:rsidRPr="0025116B">
        <w:rPr>
          <w:rFonts w:asciiTheme="majorHAnsi" w:hAnsiTheme="majorHAnsi"/>
        </w:rPr>
        <w:t xml:space="preserve">All workers are entitled to a minimum of 5.6 </w:t>
      </w:r>
      <w:proofErr w:type="gramStart"/>
      <w:r w:rsidRPr="0025116B">
        <w:rPr>
          <w:rFonts w:asciiTheme="majorHAnsi" w:hAnsiTheme="majorHAnsi"/>
        </w:rPr>
        <w:t>weeks’</w:t>
      </w:r>
      <w:proofErr w:type="gramEnd"/>
      <w:r w:rsidRPr="0025116B">
        <w:rPr>
          <w:rFonts w:asciiTheme="majorHAnsi" w:hAnsiTheme="majorHAnsi"/>
        </w:rPr>
        <w:t xml:space="preserve"> paid annual leave per leave year. As such, there should be no need to do any further calculations to work out accrual or entitlement (apart from for mid-year leavers and starters who will require a pro rata calculation).</w:t>
      </w:r>
    </w:p>
    <w:p w14:paraId="07921247" w14:textId="77777777" w:rsidR="00F007FD" w:rsidRDefault="00F007FD" w:rsidP="0025116B">
      <w:pPr>
        <w:pStyle w:val="NoSpacing"/>
        <w:rPr>
          <w:rFonts w:asciiTheme="majorHAnsi" w:hAnsiTheme="majorHAnsi"/>
        </w:rPr>
      </w:pPr>
    </w:p>
    <w:p w14:paraId="2FBB5DA2" w14:textId="2A5E87F2" w:rsidR="00DB568E" w:rsidRPr="0025116B" w:rsidRDefault="00DB568E" w:rsidP="0025116B">
      <w:pPr>
        <w:pStyle w:val="NoSpacing"/>
        <w:rPr>
          <w:rFonts w:asciiTheme="majorHAnsi" w:hAnsiTheme="majorHAnsi"/>
        </w:rPr>
      </w:pPr>
      <w:r w:rsidRPr="0025116B">
        <w:rPr>
          <w:rFonts w:asciiTheme="majorHAnsi" w:hAnsiTheme="majorHAnsi"/>
        </w:rPr>
        <w:t>The percentage method, where 12.07% of the hours worked/pay received is used to determine holiday entitlement and pay, should only be used for the calculation of holiday entitlement for part-year and irregular hours workers, and only for annual leave years that begin on or after 1 April 2024.</w:t>
      </w:r>
    </w:p>
    <w:p w14:paraId="2227F236" w14:textId="77777777" w:rsidR="00F007FD" w:rsidRDefault="00F007FD" w:rsidP="0025116B">
      <w:pPr>
        <w:pStyle w:val="NoSpacing"/>
        <w:rPr>
          <w:rFonts w:asciiTheme="majorHAnsi" w:hAnsiTheme="majorHAnsi"/>
        </w:rPr>
      </w:pPr>
    </w:p>
    <w:p w14:paraId="4203E892" w14:textId="09D3EC96" w:rsidR="00DB568E" w:rsidRPr="0025116B" w:rsidRDefault="00DB568E" w:rsidP="0025116B">
      <w:pPr>
        <w:pStyle w:val="NoSpacing"/>
        <w:rPr>
          <w:rFonts w:asciiTheme="majorHAnsi" w:hAnsiTheme="majorHAnsi"/>
        </w:rPr>
      </w:pPr>
      <w:r w:rsidRPr="0025116B">
        <w:rPr>
          <w:rFonts w:asciiTheme="majorHAnsi" w:hAnsiTheme="majorHAnsi"/>
        </w:rPr>
        <w:t>You must have measures in place to keep track of what entitlement has been used so far in the holiday year for all workers, regardless of status, and ensure everyone takes their full 5.6 weeks’ leave.</w:t>
      </w:r>
    </w:p>
    <w:p w14:paraId="7EE7AA0C" w14:textId="77777777" w:rsidR="00564B48" w:rsidRPr="0025116B" w:rsidRDefault="00564B48" w:rsidP="0025116B">
      <w:pPr>
        <w:pStyle w:val="NoSpacing"/>
        <w:rPr>
          <w:rFonts w:asciiTheme="majorHAnsi" w:hAnsiTheme="majorHAnsi"/>
        </w:rPr>
      </w:pPr>
    </w:p>
    <w:p w14:paraId="25A3CB4E" w14:textId="52F1890A" w:rsidR="00564B48" w:rsidRPr="00F007FD" w:rsidRDefault="00564B48" w:rsidP="00DD4D75">
      <w:pPr>
        <w:pStyle w:val="NoSpacing"/>
        <w:shd w:val="clear" w:color="auto" w:fill="D9D9D9" w:themeFill="background1" w:themeFillShade="D9"/>
        <w:rPr>
          <w:rFonts w:asciiTheme="majorHAnsi" w:hAnsiTheme="majorHAnsi"/>
          <w:b/>
          <w:bCs/>
        </w:rPr>
      </w:pPr>
      <w:r w:rsidRPr="00F007FD">
        <w:rPr>
          <w:rFonts w:asciiTheme="majorHAnsi" w:hAnsiTheme="majorHAnsi"/>
          <w:b/>
          <w:bCs/>
        </w:rPr>
        <w:t xml:space="preserve">5. </w:t>
      </w:r>
      <w:r w:rsidR="002E79A9" w:rsidRPr="00F007FD">
        <w:rPr>
          <w:rFonts w:asciiTheme="majorHAnsi" w:hAnsiTheme="majorHAnsi"/>
          <w:b/>
          <w:bCs/>
        </w:rPr>
        <w:t>EXAMPLE CALCULATION – IRREGULAR HOURS OR PART</w:t>
      </w:r>
      <w:r w:rsidR="00FE2826" w:rsidRPr="00F007FD">
        <w:rPr>
          <w:rFonts w:asciiTheme="majorHAnsi" w:hAnsiTheme="majorHAnsi"/>
          <w:b/>
          <w:bCs/>
        </w:rPr>
        <w:t>-YEAR WORKER HOLIDAY</w:t>
      </w:r>
    </w:p>
    <w:p w14:paraId="01F3EE93" w14:textId="77777777" w:rsidR="00564B48" w:rsidRPr="0025116B" w:rsidRDefault="00564B48" w:rsidP="0025116B">
      <w:pPr>
        <w:pStyle w:val="NoSpacing"/>
        <w:rPr>
          <w:rFonts w:asciiTheme="majorHAnsi" w:hAnsiTheme="majorHAnsi"/>
        </w:rPr>
      </w:pPr>
    </w:p>
    <w:p w14:paraId="51454824" w14:textId="77777777" w:rsidR="00FE2826" w:rsidRPr="00407272" w:rsidRDefault="00FE2826" w:rsidP="0025116B">
      <w:pPr>
        <w:pStyle w:val="NoSpacing"/>
        <w:rPr>
          <w:rFonts w:asciiTheme="majorHAnsi" w:hAnsiTheme="majorHAnsi"/>
          <w:b/>
          <w:bCs/>
        </w:rPr>
      </w:pPr>
      <w:r w:rsidRPr="00407272">
        <w:rPr>
          <w:rFonts w:asciiTheme="majorHAnsi" w:hAnsiTheme="majorHAnsi"/>
          <w:b/>
          <w:bCs/>
        </w:rPr>
        <w:t>Statutory entitlement</w:t>
      </w:r>
    </w:p>
    <w:p w14:paraId="30D756B7" w14:textId="77777777" w:rsidR="00407272" w:rsidRDefault="00407272" w:rsidP="0025116B">
      <w:pPr>
        <w:pStyle w:val="NoSpacing"/>
        <w:rPr>
          <w:rFonts w:asciiTheme="majorHAnsi" w:hAnsiTheme="majorHAnsi"/>
        </w:rPr>
      </w:pPr>
    </w:p>
    <w:p w14:paraId="69ED8124" w14:textId="46366BEE" w:rsidR="00FE2826" w:rsidRPr="0025116B" w:rsidRDefault="00FE2826" w:rsidP="0025116B">
      <w:pPr>
        <w:pStyle w:val="NoSpacing"/>
        <w:rPr>
          <w:rFonts w:asciiTheme="majorHAnsi" w:hAnsiTheme="majorHAnsi"/>
        </w:rPr>
      </w:pPr>
      <w:r w:rsidRPr="0025116B">
        <w:rPr>
          <w:rFonts w:asciiTheme="majorHAnsi" w:hAnsiTheme="majorHAnsi"/>
        </w:rPr>
        <w:t>Jill works irregular hours and is paid monthly. Her leave year starts on 1 April 2024. She is entitled to the statutory minimum holiday entitlement only. In June, she works 68 hours. To work out how much holiday she accrues in June, you will need to calculate 12.07% of 68 hours.</w:t>
      </w:r>
    </w:p>
    <w:p w14:paraId="6C7EDFB2" w14:textId="77777777" w:rsidR="00407272" w:rsidRDefault="00407272" w:rsidP="0025116B">
      <w:pPr>
        <w:pStyle w:val="NoSpacing"/>
        <w:rPr>
          <w:rFonts w:asciiTheme="majorHAnsi" w:hAnsiTheme="majorHAnsi"/>
        </w:rPr>
      </w:pPr>
    </w:p>
    <w:p w14:paraId="578029C7" w14:textId="5026685F" w:rsidR="00FE2826" w:rsidRPr="0025116B" w:rsidRDefault="00FE2826" w:rsidP="0025116B">
      <w:pPr>
        <w:pStyle w:val="NoSpacing"/>
        <w:rPr>
          <w:rFonts w:asciiTheme="majorHAnsi" w:hAnsiTheme="majorHAnsi"/>
        </w:rPr>
      </w:pPr>
      <w:r w:rsidRPr="0025116B">
        <w:rPr>
          <w:rFonts w:asciiTheme="majorHAnsi" w:hAnsiTheme="majorHAnsi"/>
        </w:rPr>
        <w:t>Step 1: divide the hours worked in the pay period by 100</w:t>
      </w:r>
    </w:p>
    <w:p w14:paraId="17B30593" w14:textId="77777777" w:rsidR="00407272" w:rsidRDefault="00407272" w:rsidP="0025116B">
      <w:pPr>
        <w:pStyle w:val="NoSpacing"/>
        <w:rPr>
          <w:rFonts w:asciiTheme="majorHAnsi" w:hAnsiTheme="majorHAnsi"/>
        </w:rPr>
      </w:pPr>
    </w:p>
    <w:p w14:paraId="6ACFA01E" w14:textId="5A58B20A" w:rsidR="00FE2826" w:rsidRPr="0025116B" w:rsidRDefault="00FE2826" w:rsidP="0025116B">
      <w:pPr>
        <w:pStyle w:val="NoSpacing"/>
        <w:rPr>
          <w:rFonts w:asciiTheme="majorHAnsi" w:hAnsiTheme="majorHAnsi"/>
        </w:rPr>
      </w:pPr>
      <w:r w:rsidRPr="0025116B">
        <w:rPr>
          <w:rFonts w:asciiTheme="majorHAnsi" w:hAnsiTheme="majorHAnsi"/>
        </w:rPr>
        <w:t>68/100 = 0.68</w:t>
      </w:r>
    </w:p>
    <w:p w14:paraId="1EED30D2" w14:textId="77777777" w:rsidR="00407272" w:rsidRDefault="00407272" w:rsidP="0025116B">
      <w:pPr>
        <w:pStyle w:val="NoSpacing"/>
        <w:rPr>
          <w:rFonts w:asciiTheme="majorHAnsi" w:hAnsiTheme="majorHAnsi"/>
        </w:rPr>
      </w:pPr>
    </w:p>
    <w:p w14:paraId="3A3E7D29" w14:textId="49E98702" w:rsidR="00FE2826" w:rsidRPr="0025116B" w:rsidRDefault="00FE2826" w:rsidP="0025116B">
      <w:pPr>
        <w:pStyle w:val="NoSpacing"/>
        <w:rPr>
          <w:rFonts w:asciiTheme="majorHAnsi" w:hAnsiTheme="majorHAnsi"/>
        </w:rPr>
      </w:pPr>
      <w:r w:rsidRPr="0025116B">
        <w:rPr>
          <w:rFonts w:asciiTheme="majorHAnsi" w:hAnsiTheme="majorHAnsi"/>
        </w:rPr>
        <w:t>Step 2: multiply the answer to step 1 by 12.07</w:t>
      </w:r>
    </w:p>
    <w:p w14:paraId="3D1761D1" w14:textId="77777777" w:rsidR="00407272" w:rsidRDefault="00407272" w:rsidP="0025116B">
      <w:pPr>
        <w:pStyle w:val="NoSpacing"/>
        <w:rPr>
          <w:rFonts w:asciiTheme="majorHAnsi" w:hAnsiTheme="majorHAnsi"/>
        </w:rPr>
      </w:pPr>
    </w:p>
    <w:p w14:paraId="0A5454DB" w14:textId="0C769AA5" w:rsidR="00FE2826" w:rsidRPr="0025116B" w:rsidRDefault="00FE2826" w:rsidP="0025116B">
      <w:pPr>
        <w:pStyle w:val="NoSpacing"/>
        <w:rPr>
          <w:rFonts w:asciiTheme="majorHAnsi" w:hAnsiTheme="majorHAnsi"/>
        </w:rPr>
      </w:pPr>
      <w:r w:rsidRPr="0025116B">
        <w:rPr>
          <w:rFonts w:asciiTheme="majorHAnsi" w:hAnsiTheme="majorHAnsi"/>
        </w:rPr>
        <w:t>0.68 x 12.07 = 8.2076</w:t>
      </w:r>
    </w:p>
    <w:p w14:paraId="1F42B364" w14:textId="77777777" w:rsidR="00407272" w:rsidRDefault="00407272" w:rsidP="0025116B">
      <w:pPr>
        <w:pStyle w:val="NoSpacing"/>
        <w:rPr>
          <w:rFonts w:asciiTheme="majorHAnsi" w:hAnsiTheme="majorHAnsi"/>
        </w:rPr>
      </w:pPr>
    </w:p>
    <w:p w14:paraId="6048098F" w14:textId="45105968" w:rsidR="00FE2826" w:rsidRPr="0025116B" w:rsidRDefault="00FE2826" w:rsidP="0025116B">
      <w:pPr>
        <w:pStyle w:val="NoSpacing"/>
        <w:rPr>
          <w:rFonts w:asciiTheme="majorHAnsi" w:hAnsiTheme="majorHAnsi"/>
        </w:rPr>
      </w:pPr>
      <w:r w:rsidRPr="0025116B">
        <w:rPr>
          <w:rFonts w:asciiTheme="majorHAnsi" w:hAnsiTheme="majorHAnsi"/>
        </w:rPr>
        <w:t>Step 3: round up or down to the nearest hour</w:t>
      </w:r>
    </w:p>
    <w:p w14:paraId="66C82DDC" w14:textId="77777777" w:rsidR="00407272" w:rsidRDefault="00407272" w:rsidP="0025116B">
      <w:pPr>
        <w:pStyle w:val="NoSpacing"/>
        <w:rPr>
          <w:rFonts w:asciiTheme="majorHAnsi" w:hAnsiTheme="majorHAnsi"/>
        </w:rPr>
      </w:pPr>
    </w:p>
    <w:p w14:paraId="46A38F09" w14:textId="5CE8B72D" w:rsidR="00FE2826" w:rsidRPr="0025116B" w:rsidRDefault="00FE2826" w:rsidP="0025116B">
      <w:pPr>
        <w:pStyle w:val="NoSpacing"/>
        <w:rPr>
          <w:rFonts w:asciiTheme="majorHAnsi" w:hAnsiTheme="majorHAnsi"/>
        </w:rPr>
      </w:pPr>
      <w:r w:rsidRPr="0025116B">
        <w:rPr>
          <w:rFonts w:asciiTheme="majorHAnsi" w:hAnsiTheme="majorHAnsi"/>
        </w:rPr>
        <w:t>8.2076 becomes 8.</w:t>
      </w:r>
    </w:p>
    <w:p w14:paraId="59D14EA3" w14:textId="77777777" w:rsidR="00407272" w:rsidRDefault="00407272" w:rsidP="0025116B">
      <w:pPr>
        <w:pStyle w:val="NoSpacing"/>
        <w:rPr>
          <w:rFonts w:asciiTheme="majorHAnsi" w:hAnsiTheme="majorHAnsi"/>
        </w:rPr>
      </w:pPr>
    </w:p>
    <w:p w14:paraId="0BB32F2E" w14:textId="28943C12" w:rsidR="00FE2826" w:rsidRPr="0025116B" w:rsidRDefault="00FE2826" w:rsidP="0025116B">
      <w:pPr>
        <w:pStyle w:val="NoSpacing"/>
        <w:rPr>
          <w:rFonts w:asciiTheme="majorHAnsi" w:hAnsiTheme="majorHAnsi"/>
        </w:rPr>
      </w:pPr>
      <w:r w:rsidRPr="0025116B">
        <w:rPr>
          <w:rFonts w:asciiTheme="majorHAnsi" w:hAnsiTheme="majorHAnsi"/>
        </w:rPr>
        <w:t>Jill accrued eight hours of holiday during the month of June. It should be noted that the hours can be rounded down (to zero if it is less than 30 minutes) but will be rounded up to one hour if it is 30 minutes or more.</w:t>
      </w:r>
    </w:p>
    <w:p w14:paraId="3F0FC840" w14:textId="77777777" w:rsidR="00407272" w:rsidRDefault="00407272" w:rsidP="0025116B">
      <w:pPr>
        <w:pStyle w:val="NoSpacing"/>
        <w:rPr>
          <w:rFonts w:asciiTheme="majorHAnsi" w:hAnsiTheme="majorHAnsi"/>
        </w:rPr>
      </w:pPr>
    </w:p>
    <w:p w14:paraId="7425A231" w14:textId="4DC2A3B9" w:rsidR="00FE2826" w:rsidRPr="00407272" w:rsidRDefault="00FE2826" w:rsidP="0025116B">
      <w:pPr>
        <w:pStyle w:val="NoSpacing"/>
        <w:rPr>
          <w:rFonts w:asciiTheme="majorHAnsi" w:hAnsiTheme="majorHAnsi"/>
          <w:b/>
          <w:bCs/>
        </w:rPr>
      </w:pPr>
      <w:r w:rsidRPr="00407272">
        <w:rPr>
          <w:rFonts w:asciiTheme="majorHAnsi" w:hAnsiTheme="majorHAnsi"/>
          <w:b/>
          <w:bCs/>
        </w:rPr>
        <w:t>More than statutory entitlement</w:t>
      </w:r>
    </w:p>
    <w:p w14:paraId="25BF1EEC" w14:textId="77777777" w:rsidR="00407272" w:rsidRDefault="00407272" w:rsidP="0025116B">
      <w:pPr>
        <w:pStyle w:val="NoSpacing"/>
        <w:rPr>
          <w:rFonts w:asciiTheme="majorHAnsi" w:hAnsiTheme="majorHAnsi"/>
        </w:rPr>
      </w:pPr>
    </w:p>
    <w:p w14:paraId="62CC31A0" w14:textId="5B820322" w:rsidR="00FE2826" w:rsidRPr="0025116B" w:rsidRDefault="00FE2826" w:rsidP="0025116B">
      <w:pPr>
        <w:pStyle w:val="NoSpacing"/>
        <w:rPr>
          <w:rFonts w:asciiTheme="majorHAnsi" w:hAnsiTheme="majorHAnsi"/>
        </w:rPr>
      </w:pPr>
      <w:r w:rsidRPr="0025116B">
        <w:rPr>
          <w:rFonts w:asciiTheme="majorHAnsi" w:hAnsiTheme="majorHAnsi"/>
        </w:rPr>
        <w:t>To find the relevant percentage for these workers, you would need to do the following calculation.</w:t>
      </w:r>
    </w:p>
    <w:p w14:paraId="5F7C74CB" w14:textId="77777777" w:rsidR="00CE563D" w:rsidRDefault="00CE563D" w:rsidP="0025116B">
      <w:pPr>
        <w:pStyle w:val="NoSpacing"/>
        <w:rPr>
          <w:rFonts w:asciiTheme="majorHAnsi" w:hAnsiTheme="majorHAnsi"/>
        </w:rPr>
      </w:pPr>
    </w:p>
    <w:p w14:paraId="4E98C2D5" w14:textId="38A2FACE" w:rsidR="00FE2826" w:rsidRPr="0025116B" w:rsidRDefault="00FE2826" w:rsidP="0025116B">
      <w:pPr>
        <w:pStyle w:val="NoSpacing"/>
        <w:rPr>
          <w:rFonts w:asciiTheme="majorHAnsi" w:hAnsiTheme="majorHAnsi"/>
        </w:rPr>
      </w:pPr>
      <w:r w:rsidRPr="0025116B">
        <w:rPr>
          <w:rFonts w:asciiTheme="majorHAnsi" w:hAnsiTheme="majorHAnsi"/>
        </w:rPr>
        <w:t>Total holiday entitlement divided by remaining working weeks in the year x 100.</w:t>
      </w:r>
    </w:p>
    <w:p w14:paraId="50C15FA2" w14:textId="77777777" w:rsidR="00CE563D" w:rsidRDefault="00CE563D" w:rsidP="0025116B">
      <w:pPr>
        <w:pStyle w:val="NoSpacing"/>
        <w:rPr>
          <w:rFonts w:asciiTheme="majorHAnsi" w:hAnsiTheme="majorHAnsi"/>
        </w:rPr>
      </w:pPr>
    </w:p>
    <w:p w14:paraId="55773AF2" w14:textId="44998648" w:rsidR="00FE2826" w:rsidRPr="0025116B" w:rsidRDefault="00FE2826" w:rsidP="0025116B">
      <w:pPr>
        <w:pStyle w:val="NoSpacing"/>
        <w:rPr>
          <w:rFonts w:asciiTheme="majorHAnsi" w:hAnsiTheme="majorHAnsi"/>
        </w:rPr>
      </w:pPr>
      <w:r w:rsidRPr="0025116B">
        <w:rPr>
          <w:rFonts w:asciiTheme="majorHAnsi" w:hAnsiTheme="majorHAnsi"/>
        </w:rPr>
        <w:t>If a part-year worker is entitled to six weeks of leave as per their contract, then:</w:t>
      </w:r>
    </w:p>
    <w:p w14:paraId="34BD5F81" w14:textId="77777777" w:rsidR="00181583" w:rsidRDefault="00181583" w:rsidP="0025116B">
      <w:pPr>
        <w:pStyle w:val="NoSpacing"/>
        <w:rPr>
          <w:rFonts w:asciiTheme="majorHAnsi" w:hAnsiTheme="majorHAnsi"/>
        </w:rPr>
      </w:pPr>
    </w:p>
    <w:p w14:paraId="5A1D4063" w14:textId="7E2035D0" w:rsidR="00FE2826" w:rsidRPr="0025116B" w:rsidRDefault="00FE2826" w:rsidP="0025116B">
      <w:pPr>
        <w:pStyle w:val="NoSpacing"/>
        <w:rPr>
          <w:rFonts w:asciiTheme="majorHAnsi" w:hAnsiTheme="majorHAnsi"/>
        </w:rPr>
      </w:pPr>
      <w:r w:rsidRPr="0025116B">
        <w:rPr>
          <w:rFonts w:asciiTheme="majorHAnsi" w:hAnsiTheme="majorHAnsi"/>
        </w:rPr>
        <w:t>6/46 = 0.1304</w:t>
      </w:r>
    </w:p>
    <w:p w14:paraId="536E2FDC" w14:textId="77777777" w:rsidR="00181583" w:rsidRDefault="00181583" w:rsidP="0025116B">
      <w:pPr>
        <w:pStyle w:val="NoSpacing"/>
        <w:rPr>
          <w:rFonts w:asciiTheme="majorHAnsi" w:hAnsiTheme="majorHAnsi"/>
        </w:rPr>
      </w:pPr>
    </w:p>
    <w:p w14:paraId="2F3BF413" w14:textId="6005A3EA" w:rsidR="00FE2826" w:rsidRPr="0025116B" w:rsidRDefault="00FE2826" w:rsidP="0025116B">
      <w:pPr>
        <w:pStyle w:val="NoSpacing"/>
        <w:rPr>
          <w:rFonts w:asciiTheme="majorHAnsi" w:hAnsiTheme="majorHAnsi"/>
        </w:rPr>
      </w:pPr>
      <w:r w:rsidRPr="0025116B">
        <w:rPr>
          <w:rFonts w:asciiTheme="majorHAnsi" w:hAnsiTheme="majorHAnsi"/>
        </w:rPr>
        <w:t>0.1304 x 100 = 13.04</w:t>
      </w:r>
    </w:p>
    <w:p w14:paraId="31A0AECF" w14:textId="77777777" w:rsidR="00181583" w:rsidRDefault="00181583" w:rsidP="0025116B">
      <w:pPr>
        <w:pStyle w:val="NoSpacing"/>
        <w:rPr>
          <w:rFonts w:asciiTheme="majorHAnsi" w:hAnsiTheme="majorHAnsi"/>
        </w:rPr>
      </w:pPr>
    </w:p>
    <w:p w14:paraId="2A0F5C23" w14:textId="452EDB52" w:rsidR="00FE2826" w:rsidRPr="0025116B" w:rsidRDefault="00FE2826" w:rsidP="0025116B">
      <w:pPr>
        <w:pStyle w:val="NoSpacing"/>
        <w:rPr>
          <w:rFonts w:asciiTheme="majorHAnsi" w:hAnsiTheme="majorHAnsi"/>
        </w:rPr>
      </w:pPr>
      <w:r w:rsidRPr="0025116B">
        <w:rPr>
          <w:rFonts w:asciiTheme="majorHAnsi" w:hAnsiTheme="majorHAnsi"/>
        </w:rPr>
        <w:t>Therefore, this worker’s holiday entitlement would be calculated as 13.04% of actual hours worked in a pay period.</w:t>
      </w:r>
    </w:p>
    <w:p w14:paraId="0F2A80E1" w14:textId="77777777" w:rsidR="00765469" w:rsidRPr="0025116B" w:rsidRDefault="00765469" w:rsidP="0025116B">
      <w:pPr>
        <w:pStyle w:val="NoSpacing"/>
        <w:rPr>
          <w:rFonts w:asciiTheme="majorHAnsi" w:hAnsiTheme="majorHAnsi"/>
        </w:rPr>
      </w:pPr>
    </w:p>
    <w:p w14:paraId="63F991DC" w14:textId="2E7E0E46" w:rsidR="00181583" w:rsidRDefault="00765469" w:rsidP="00DD4D75">
      <w:pPr>
        <w:pStyle w:val="NoSpacing"/>
        <w:shd w:val="clear" w:color="auto" w:fill="D9D9D9" w:themeFill="background1" w:themeFillShade="D9"/>
        <w:rPr>
          <w:rFonts w:asciiTheme="majorHAnsi" w:hAnsiTheme="majorHAnsi"/>
        </w:rPr>
      </w:pPr>
      <w:r w:rsidRPr="00181583">
        <w:rPr>
          <w:rFonts w:asciiTheme="majorHAnsi" w:hAnsiTheme="majorHAnsi"/>
          <w:b/>
          <w:bCs/>
        </w:rPr>
        <w:t xml:space="preserve">6. </w:t>
      </w:r>
      <w:r w:rsidR="00FB095B" w:rsidRPr="00181583">
        <w:rPr>
          <w:rFonts w:asciiTheme="majorHAnsi" w:hAnsiTheme="majorHAnsi"/>
          <w:b/>
          <w:bCs/>
        </w:rPr>
        <w:t>CALCULATING HOLIDAY PAY</w:t>
      </w:r>
      <w:bookmarkStart w:id="0" w:name="WKID-202403211129160631-96958895"/>
    </w:p>
    <w:p w14:paraId="68AEB112" w14:textId="77777777" w:rsidR="00DD4D75" w:rsidRDefault="00DD4D75" w:rsidP="0025116B">
      <w:pPr>
        <w:pStyle w:val="NoSpacing"/>
        <w:rPr>
          <w:rFonts w:asciiTheme="majorHAnsi" w:hAnsiTheme="majorHAnsi"/>
          <w:b/>
          <w:bCs/>
        </w:rPr>
      </w:pPr>
    </w:p>
    <w:p w14:paraId="351159A7" w14:textId="34F651D9" w:rsidR="003E0346" w:rsidRPr="00181583" w:rsidRDefault="003E0346" w:rsidP="0025116B">
      <w:pPr>
        <w:pStyle w:val="NoSpacing"/>
        <w:rPr>
          <w:rFonts w:asciiTheme="majorHAnsi" w:hAnsiTheme="majorHAnsi"/>
          <w:b/>
          <w:bCs/>
        </w:rPr>
      </w:pPr>
      <w:r w:rsidRPr="00181583">
        <w:rPr>
          <w:rFonts w:asciiTheme="majorHAnsi" w:hAnsiTheme="majorHAnsi"/>
          <w:b/>
          <w:bCs/>
        </w:rPr>
        <w:t>Full-year workers</w:t>
      </w:r>
      <w:bookmarkEnd w:id="0"/>
    </w:p>
    <w:p w14:paraId="36FFC310" w14:textId="77777777" w:rsidR="00181583" w:rsidRDefault="00181583" w:rsidP="0025116B">
      <w:pPr>
        <w:pStyle w:val="NoSpacing"/>
        <w:rPr>
          <w:rFonts w:asciiTheme="majorHAnsi" w:hAnsiTheme="majorHAnsi"/>
        </w:rPr>
      </w:pPr>
    </w:p>
    <w:p w14:paraId="75A93A39" w14:textId="785D868D" w:rsidR="003E0346" w:rsidRPr="0025116B" w:rsidRDefault="003E0346" w:rsidP="0025116B">
      <w:pPr>
        <w:pStyle w:val="NoSpacing"/>
        <w:rPr>
          <w:rFonts w:asciiTheme="majorHAnsi" w:hAnsiTheme="majorHAnsi"/>
        </w:rPr>
      </w:pPr>
      <w:r w:rsidRPr="0025116B">
        <w:rPr>
          <w:rFonts w:asciiTheme="majorHAnsi" w:hAnsiTheme="majorHAnsi"/>
        </w:rPr>
        <w:t xml:space="preserve">The law requires that four weeks of a worker’s annual leave entitlement should be paid at the worker’s “normal pay”. For convenience, some employers choose to define the first four weeks of a worker’s overall holiday entitlement as the four weeks that attract the higher rate of pay, but this </w:t>
      </w:r>
      <w:r w:rsidRPr="0025116B">
        <w:rPr>
          <w:rFonts w:asciiTheme="majorHAnsi" w:hAnsiTheme="majorHAnsi"/>
        </w:rPr>
        <w:lastRenderedPageBreak/>
        <w:t>is not a requirement under the law. Whatever the position that the organisation elects to take should be set out in the employment contract, to make sure no confusion arises over this issue.</w:t>
      </w:r>
    </w:p>
    <w:p w14:paraId="17A5C0E4" w14:textId="77777777" w:rsidR="00AB3413" w:rsidRDefault="00AB3413" w:rsidP="0025116B">
      <w:pPr>
        <w:pStyle w:val="NoSpacing"/>
        <w:rPr>
          <w:rFonts w:asciiTheme="majorHAnsi" w:hAnsiTheme="majorHAnsi"/>
        </w:rPr>
      </w:pPr>
    </w:p>
    <w:p w14:paraId="782BA5BF" w14:textId="7C77B69E" w:rsidR="003E0346" w:rsidRPr="0025116B" w:rsidRDefault="003E0346" w:rsidP="0025116B">
      <w:pPr>
        <w:pStyle w:val="NoSpacing"/>
        <w:rPr>
          <w:rFonts w:asciiTheme="majorHAnsi" w:hAnsiTheme="majorHAnsi"/>
        </w:rPr>
      </w:pPr>
      <w:r w:rsidRPr="0025116B">
        <w:rPr>
          <w:rFonts w:asciiTheme="majorHAnsi" w:hAnsiTheme="majorHAnsi"/>
        </w:rPr>
        <w:t xml:space="preserve">Any remaining holiday pay can be paid at the employee’s “basic” rate, </w:t>
      </w:r>
      <w:proofErr w:type="spellStart"/>
      <w:r w:rsidRPr="0025116B">
        <w:rPr>
          <w:rFonts w:asciiTheme="majorHAnsi" w:hAnsiTheme="majorHAnsi"/>
        </w:rPr>
        <w:t>ie</w:t>
      </w:r>
      <w:proofErr w:type="spellEnd"/>
      <w:r w:rsidRPr="0025116B">
        <w:rPr>
          <w:rFonts w:asciiTheme="majorHAnsi" w:hAnsiTheme="majorHAnsi"/>
        </w:rPr>
        <w:t xml:space="preserve"> the basic contractual rate without the additional payments.</w:t>
      </w:r>
    </w:p>
    <w:p w14:paraId="335EF01E" w14:textId="77777777" w:rsidR="00D86622" w:rsidRDefault="00D86622" w:rsidP="0025116B">
      <w:pPr>
        <w:pStyle w:val="NoSpacing"/>
        <w:rPr>
          <w:rFonts w:asciiTheme="majorHAnsi" w:hAnsiTheme="majorHAnsi"/>
        </w:rPr>
      </w:pPr>
      <w:bookmarkStart w:id="1" w:name="WKID-202403211130230135-55219501"/>
    </w:p>
    <w:p w14:paraId="3D829922" w14:textId="7F45C9E2" w:rsidR="003E0346" w:rsidRPr="00D86622" w:rsidRDefault="003E0346" w:rsidP="0025116B">
      <w:pPr>
        <w:pStyle w:val="NoSpacing"/>
        <w:rPr>
          <w:rFonts w:asciiTheme="majorHAnsi" w:hAnsiTheme="majorHAnsi"/>
          <w:b/>
          <w:bCs/>
        </w:rPr>
      </w:pPr>
      <w:r w:rsidRPr="00D86622">
        <w:rPr>
          <w:rFonts w:asciiTheme="majorHAnsi" w:hAnsiTheme="majorHAnsi"/>
          <w:b/>
          <w:bCs/>
        </w:rPr>
        <w:t>Irregular hours and part-year workers</w:t>
      </w:r>
      <w:bookmarkEnd w:id="1"/>
    </w:p>
    <w:p w14:paraId="7F661628" w14:textId="77777777" w:rsidR="00D86622" w:rsidRDefault="00D86622" w:rsidP="0025116B">
      <w:pPr>
        <w:pStyle w:val="NoSpacing"/>
        <w:rPr>
          <w:rFonts w:asciiTheme="majorHAnsi" w:hAnsiTheme="majorHAnsi"/>
        </w:rPr>
      </w:pPr>
    </w:p>
    <w:p w14:paraId="563973DC" w14:textId="5C2E830B" w:rsidR="003E0346" w:rsidRPr="0025116B" w:rsidRDefault="003E0346" w:rsidP="0025116B">
      <w:pPr>
        <w:pStyle w:val="NoSpacing"/>
        <w:rPr>
          <w:rFonts w:asciiTheme="majorHAnsi" w:hAnsiTheme="majorHAnsi"/>
        </w:rPr>
      </w:pPr>
      <w:proofErr w:type="gramStart"/>
      <w:r w:rsidRPr="0025116B">
        <w:rPr>
          <w:rFonts w:asciiTheme="majorHAnsi" w:hAnsiTheme="majorHAnsi"/>
        </w:rPr>
        <w:t>All of</w:t>
      </w:r>
      <w:proofErr w:type="gramEnd"/>
      <w:r w:rsidRPr="0025116B">
        <w:rPr>
          <w:rFonts w:asciiTheme="majorHAnsi" w:hAnsiTheme="majorHAnsi"/>
        </w:rPr>
        <w:t xml:space="preserve"> the holiday pay should be based on an average of total pay; there is no distinction for these groups between “normal” and “basic” for the purposes of holiday pay.</w:t>
      </w:r>
    </w:p>
    <w:p w14:paraId="1308BFF6" w14:textId="77777777" w:rsidR="00D86622" w:rsidRDefault="00D86622" w:rsidP="0025116B">
      <w:pPr>
        <w:pStyle w:val="NoSpacing"/>
        <w:rPr>
          <w:rFonts w:asciiTheme="majorHAnsi" w:hAnsiTheme="majorHAnsi"/>
        </w:rPr>
      </w:pPr>
      <w:bookmarkStart w:id="2" w:name="WKID-202403211131310757-96432121"/>
    </w:p>
    <w:p w14:paraId="751E95D6" w14:textId="0A6D0295" w:rsidR="003E0346" w:rsidRPr="00D86622" w:rsidRDefault="003E0346" w:rsidP="0025116B">
      <w:pPr>
        <w:pStyle w:val="NoSpacing"/>
        <w:rPr>
          <w:rFonts w:asciiTheme="majorHAnsi" w:hAnsiTheme="majorHAnsi"/>
          <w:b/>
          <w:bCs/>
        </w:rPr>
      </w:pPr>
      <w:r w:rsidRPr="00D86622">
        <w:rPr>
          <w:rFonts w:asciiTheme="majorHAnsi" w:hAnsiTheme="majorHAnsi"/>
          <w:b/>
          <w:bCs/>
        </w:rPr>
        <w:t>Normal pay</w:t>
      </w:r>
      <w:bookmarkEnd w:id="2"/>
    </w:p>
    <w:p w14:paraId="3E3BE4FB" w14:textId="77777777" w:rsidR="00D86622" w:rsidRDefault="00D86622" w:rsidP="0025116B">
      <w:pPr>
        <w:pStyle w:val="NoSpacing"/>
        <w:rPr>
          <w:rFonts w:asciiTheme="majorHAnsi" w:hAnsiTheme="majorHAnsi"/>
        </w:rPr>
      </w:pPr>
    </w:p>
    <w:p w14:paraId="3167278E" w14:textId="51B8EBD3" w:rsidR="003E0346" w:rsidRPr="0025116B" w:rsidRDefault="003E0346" w:rsidP="0025116B">
      <w:pPr>
        <w:pStyle w:val="NoSpacing"/>
        <w:rPr>
          <w:rFonts w:asciiTheme="majorHAnsi" w:hAnsiTheme="majorHAnsi"/>
        </w:rPr>
      </w:pPr>
      <w:r w:rsidRPr="0025116B">
        <w:rPr>
          <w:rFonts w:asciiTheme="majorHAnsi" w:hAnsiTheme="majorHAnsi"/>
        </w:rPr>
        <w:t>For leave years that started on or after 1 January 2024, “normal pay” includes:</w:t>
      </w:r>
    </w:p>
    <w:p w14:paraId="276D3920" w14:textId="77777777" w:rsidR="00D86622" w:rsidRDefault="00D86622" w:rsidP="0025116B">
      <w:pPr>
        <w:pStyle w:val="NoSpacing"/>
        <w:rPr>
          <w:rFonts w:asciiTheme="majorHAnsi" w:hAnsiTheme="majorHAnsi"/>
        </w:rPr>
      </w:pPr>
    </w:p>
    <w:p w14:paraId="1543EF6C" w14:textId="77777777" w:rsidR="00D86622" w:rsidRDefault="003E0346" w:rsidP="0025116B">
      <w:pPr>
        <w:pStyle w:val="NoSpacing"/>
        <w:numPr>
          <w:ilvl w:val="0"/>
          <w:numId w:val="35"/>
        </w:numPr>
        <w:rPr>
          <w:rFonts w:asciiTheme="majorHAnsi" w:hAnsiTheme="majorHAnsi"/>
        </w:rPr>
      </w:pPr>
      <w:r w:rsidRPr="0025116B">
        <w:rPr>
          <w:rFonts w:asciiTheme="majorHAnsi" w:hAnsiTheme="majorHAnsi"/>
        </w:rPr>
        <w:t>payments, including commission payments, which are intrinsically linked to the performance of tasks which the worker is obliged to carry out under the terms of their contract</w:t>
      </w:r>
    </w:p>
    <w:p w14:paraId="152DEDA2" w14:textId="77777777" w:rsidR="000A0E34" w:rsidRDefault="003E0346" w:rsidP="0025116B">
      <w:pPr>
        <w:pStyle w:val="NoSpacing"/>
        <w:numPr>
          <w:ilvl w:val="0"/>
          <w:numId w:val="35"/>
        </w:numPr>
        <w:rPr>
          <w:rFonts w:asciiTheme="majorHAnsi" w:hAnsiTheme="majorHAnsi"/>
        </w:rPr>
      </w:pPr>
      <w:r w:rsidRPr="00D86622">
        <w:rPr>
          <w:rFonts w:asciiTheme="majorHAnsi" w:hAnsiTheme="majorHAnsi"/>
        </w:rPr>
        <w:t>payments for professional or personal status relating to length of service, seniority or professional qualifications</w:t>
      </w:r>
    </w:p>
    <w:p w14:paraId="3B6B1566" w14:textId="159F23D2" w:rsidR="003E0346" w:rsidRPr="00D86622" w:rsidRDefault="003E0346" w:rsidP="0025116B">
      <w:pPr>
        <w:pStyle w:val="NoSpacing"/>
        <w:numPr>
          <w:ilvl w:val="0"/>
          <w:numId w:val="35"/>
        </w:numPr>
        <w:rPr>
          <w:rFonts w:asciiTheme="majorHAnsi" w:hAnsiTheme="majorHAnsi"/>
        </w:rPr>
      </w:pPr>
      <w:r w:rsidRPr="00D86622">
        <w:rPr>
          <w:rFonts w:asciiTheme="majorHAnsi" w:hAnsiTheme="majorHAnsi"/>
        </w:rPr>
        <w:t>other payments, such as overtime payments, which have been regularly paid to the worker in the last 52 weeks.</w:t>
      </w:r>
    </w:p>
    <w:p w14:paraId="516446E9" w14:textId="77777777" w:rsidR="000A0E34" w:rsidRDefault="000A0E34" w:rsidP="0025116B">
      <w:pPr>
        <w:pStyle w:val="NoSpacing"/>
        <w:rPr>
          <w:rFonts w:asciiTheme="majorHAnsi" w:hAnsiTheme="majorHAnsi"/>
        </w:rPr>
      </w:pPr>
    </w:p>
    <w:p w14:paraId="1620B463" w14:textId="1E021820" w:rsidR="003E0346" w:rsidRDefault="003E0346" w:rsidP="0025116B">
      <w:pPr>
        <w:pStyle w:val="NoSpacing"/>
        <w:rPr>
          <w:rFonts w:asciiTheme="majorHAnsi" w:hAnsiTheme="majorHAnsi"/>
        </w:rPr>
      </w:pPr>
      <w:r w:rsidRPr="0025116B">
        <w:rPr>
          <w:rFonts w:asciiTheme="majorHAnsi" w:hAnsiTheme="majorHAnsi"/>
        </w:rPr>
        <w:t>Where weekly pay varies (eg for workers on a zero-hours contract), you should calculate holiday pay based on an employee’s average weekly earnings over the preceding 52 paid weeks which fall immediately before the holiday period.</w:t>
      </w:r>
    </w:p>
    <w:p w14:paraId="63F06A9C" w14:textId="77777777" w:rsidR="00912039" w:rsidRPr="0025116B" w:rsidRDefault="00912039" w:rsidP="0025116B">
      <w:pPr>
        <w:pStyle w:val="NoSpacing"/>
        <w:rPr>
          <w:rFonts w:asciiTheme="majorHAnsi" w:hAnsiTheme="majorHAnsi"/>
        </w:rPr>
      </w:pPr>
    </w:p>
    <w:p w14:paraId="7FB4F4A1" w14:textId="77777777" w:rsidR="003E0346" w:rsidRPr="0025116B" w:rsidRDefault="003E0346" w:rsidP="0025116B">
      <w:pPr>
        <w:pStyle w:val="NoSpacing"/>
        <w:rPr>
          <w:rFonts w:asciiTheme="majorHAnsi" w:hAnsiTheme="majorHAnsi"/>
        </w:rPr>
      </w:pPr>
      <w:r w:rsidRPr="0025116B">
        <w:rPr>
          <w:rFonts w:asciiTheme="majorHAnsi" w:hAnsiTheme="majorHAnsi"/>
        </w:rPr>
        <w:t xml:space="preserve">The 52-week reference period includes only weeks where the worker received pay. It must not include weeks where they were not paid as they did not work. It should also not include any weeks where “normal” pay wasn’t given, eg because they were on sick leave so given sick pay. You can go back for a maximum of two years (104 weeks) to obtain the relevant 52 weeks’ pay data. </w:t>
      </w:r>
      <w:proofErr w:type="gramStart"/>
      <w:r w:rsidRPr="0025116B">
        <w:rPr>
          <w:rFonts w:asciiTheme="majorHAnsi" w:hAnsiTheme="majorHAnsi"/>
        </w:rPr>
        <w:t>In the event that</w:t>
      </w:r>
      <w:proofErr w:type="gramEnd"/>
      <w:r w:rsidRPr="0025116B">
        <w:rPr>
          <w:rFonts w:asciiTheme="majorHAnsi" w:hAnsiTheme="majorHAnsi"/>
        </w:rPr>
        <w:t xml:space="preserve"> there </w:t>
      </w:r>
      <w:proofErr w:type="gramStart"/>
      <w:r w:rsidRPr="0025116B">
        <w:rPr>
          <w:rFonts w:asciiTheme="majorHAnsi" w:hAnsiTheme="majorHAnsi"/>
        </w:rPr>
        <w:t>is</w:t>
      </w:r>
      <w:proofErr w:type="gramEnd"/>
      <w:r w:rsidRPr="0025116B">
        <w:rPr>
          <w:rFonts w:asciiTheme="majorHAnsi" w:hAnsiTheme="majorHAnsi"/>
        </w:rPr>
        <w:t xml:space="preserve"> not 52 weeks’ data from the previous 104 weeks, then the reference period becomes the number of weeks’ worth of data available. For example, if the employee has not been in employment long enough to attract 52 weeks’ pay then the reference period will be the corresponding number of weeks worked.</w:t>
      </w:r>
    </w:p>
    <w:p w14:paraId="66ADDF72" w14:textId="77777777" w:rsidR="00912039" w:rsidRDefault="00912039" w:rsidP="0025116B">
      <w:pPr>
        <w:pStyle w:val="NoSpacing"/>
        <w:rPr>
          <w:rFonts w:asciiTheme="majorHAnsi" w:hAnsiTheme="majorHAnsi"/>
        </w:rPr>
      </w:pPr>
    </w:p>
    <w:p w14:paraId="5C19CD4E" w14:textId="1936CEF2" w:rsidR="003E0346" w:rsidRPr="0025116B" w:rsidRDefault="003E0346" w:rsidP="0025116B">
      <w:pPr>
        <w:pStyle w:val="NoSpacing"/>
        <w:rPr>
          <w:rFonts w:asciiTheme="majorHAnsi" w:hAnsiTheme="majorHAnsi"/>
        </w:rPr>
      </w:pPr>
      <w:r w:rsidRPr="0025116B">
        <w:rPr>
          <w:rFonts w:asciiTheme="majorHAnsi" w:hAnsiTheme="majorHAnsi"/>
        </w:rPr>
        <w:t>Holiday can be taken in blocks of one week to ensure pay calculations are correct and based on average weekly pay. Where a worker is paid a regular weekly salary, with fixed hours and fixed pay, there is no need to make a separate holiday pay calculation. The worker will be paid their normal weekly amount.</w:t>
      </w:r>
    </w:p>
    <w:p w14:paraId="46D3540A" w14:textId="77777777" w:rsidR="00912039" w:rsidRDefault="00912039" w:rsidP="0025116B">
      <w:pPr>
        <w:pStyle w:val="NoSpacing"/>
        <w:rPr>
          <w:rFonts w:asciiTheme="majorHAnsi" w:hAnsiTheme="majorHAnsi"/>
        </w:rPr>
      </w:pPr>
      <w:bookmarkStart w:id="3" w:name="X3128e173d13762185f14488ae5bb73b92d68556"/>
    </w:p>
    <w:p w14:paraId="64E61D40" w14:textId="62BA9BF4" w:rsidR="003E0346" w:rsidRDefault="00BB3DCB" w:rsidP="00C240BB">
      <w:pPr>
        <w:pStyle w:val="NoSpacing"/>
        <w:shd w:val="clear" w:color="auto" w:fill="D9D9D9" w:themeFill="background1" w:themeFillShade="D9"/>
        <w:rPr>
          <w:rFonts w:asciiTheme="majorHAnsi" w:hAnsiTheme="majorHAnsi"/>
          <w:b/>
          <w:bCs/>
        </w:rPr>
      </w:pPr>
      <w:r>
        <w:rPr>
          <w:rFonts w:asciiTheme="majorHAnsi" w:hAnsiTheme="majorHAnsi"/>
          <w:b/>
          <w:bCs/>
        </w:rPr>
        <w:t xml:space="preserve">7. </w:t>
      </w:r>
      <w:r w:rsidR="003E0346" w:rsidRPr="00912039">
        <w:rPr>
          <w:rFonts w:asciiTheme="majorHAnsi" w:hAnsiTheme="majorHAnsi"/>
          <w:b/>
          <w:bCs/>
        </w:rPr>
        <w:t>E</w:t>
      </w:r>
      <w:r>
        <w:rPr>
          <w:rFonts w:asciiTheme="majorHAnsi" w:hAnsiTheme="majorHAnsi"/>
          <w:b/>
          <w:bCs/>
        </w:rPr>
        <w:t>XAMPLE CALCULATION – AVERAGE WEEKLY PAY</w:t>
      </w:r>
      <w:bookmarkEnd w:id="3"/>
    </w:p>
    <w:p w14:paraId="43FCE69A" w14:textId="77777777" w:rsidR="00B30A02" w:rsidRPr="00912039" w:rsidRDefault="00B30A02" w:rsidP="0025116B">
      <w:pPr>
        <w:pStyle w:val="NoSpacing"/>
        <w:rPr>
          <w:rFonts w:asciiTheme="majorHAnsi" w:hAnsiTheme="majorHAnsi"/>
          <w:b/>
          <w:bCs/>
        </w:rPr>
      </w:pPr>
    </w:p>
    <w:p w14:paraId="6AFCFA03" w14:textId="77777777" w:rsidR="003E0346" w:rsidRPr="0025116B" w:rsidRDefault="003E0346" w:rsidP="0025116B">
      <w:pPr>
        <w:pStyle w:val="NoSpacing"/>
        <w:rPr>
          <w:rFonts w:asciiTheme="majorHAnsi" w:hAnsiTheme="majorHAnsi"/>
        </w:rPr>
      </w:pPr>
      <w:r w:rsidRPr="0025116B">
        <w:rPr>
          <w:rFonts w:asciiTheme="majorHAnsi" w:hAnsiTheme="majorHAnsi"/>
        </w:rPr>
        <w:t>Add earnings from previous 52 working weeks/52 = average weekly pay.</w:t>
      </w:r>
    </w:p>
    <w:p w14:paraId="7D8282AA" w14:textId="77777777" w:rsidR="00B30A02" w:rsidRDefault="00B30A02" w:rsidP="0025116B">
      <w:pPr>
        <w:pStyle w:val="NoSpacing"/>
        <w:rPr>
          <w:rFonts w:asciiTheme="majorHAnsi" w:hAnsiTheme="majorHAnsi"/>
        </w:rPr>
      </w:pPr>
    </w:p>
    <w:p w14:paraId="06103629" w14:textId="58277A0F" w:rsidR="003E0346" w:rsidRPr="0025116B" w:rsidRDefault="003E0346" w:rsidP="0025116B">
      <w:pPr>
        <w:pStyle w:val="NoSpacing"/>
        <w:rPr>
          <w:rFonts w:asciiTheme="majorHAnsi" w:hAnsiTheme="majorHAnsi"/>
        </w:rPr>
      </w:pPr>
      <w:r w:rsidRPr="0025116B">
        <w:rPr>
          <w:rFonts w:asciiTheme="majorHAnsi" w:hAnsiTheme="majorHAnsi"/>
        </w:rPr>
        <w:t xml:space="preserve">Pay for holiday period = average weekly </w:t>
      </w:r>
      <w:proofErr w:type="gramStart"/>
      <w:r w:rsidRPr="0025116B">
        <w:rPr>
          <w:rFonts w:asciiTheme="majorHAnsi" w:hAnsiTheme="majorHAnsi"/>
        </w:rPr>
        <w:t>pay</w:t>
      </w:r>
      <w:proofErr w:type="gramEnd"/>
      <w:r w:rsidRPr="0025116B">
        <w:rPr>
          <w:rFonts w:asciiTheme="majorHAnsi" w:hAnsiTheme="majorHAnsi"/>
        </w:rPr>
        <w:t xml:space="preserve"> x number of weeks’ holiday.</w:t>
      </w:r>
    </w:p>
    <w:p w14:paraId="539AC05D" w14:textId="77777777" w:rsidR="000F6570" w:rsidRPr="0025116B" w:rsidRDefault="000F6570" w:rsidP="0025116B">
      <w:pPr>
        <w:pStyle w:val="NoSpacing"/>
        <w:rPr>
          <w:rFonts w:asciiTheme="majorHAnsi" w:hAnsiTheme="majorHAnsi"/>
        </w:rPr>
      </w:pPr>
      <w:r w:rsidRPr="0025116B">
        <w:rPr>
          <w:rFonts w:asciiTheme="majorHAnsi" w:hAnsiTheme="majorHAnsi"/>
        </w:rPr>
        <w:lastRenderedPageBreak/>
        <w:t>For example, if an employee’s average weekly pay is £100 and they want to take two weeks’ holiday: £100 x 2 = £200 holiday pay. This calculation should be re-done at the beginning of every holiday period.</w:t>
      </w:r>
    </w:p>
    <w:p w14:paraId="2A67D194" w14:textId="77777777" w:rsidR="00BA5959" w:rsidRPr="0025116B" w:rsidRDefault="00BA5959" w:rsidP="0025116B">
      <w:pPr>
        <w:pStyle w:val="NoSpacing"/>
        <w:rPr>
          <w:rFonts w:asciiTheme="majorHAnsi" w:hAnsiTheme="majorHAnsi"/>
        </w:rPr>
      </w:pPr>
    </w:p>
    <w:p w14:paraId="08088362" w14:textId="489C2EB4" w:rsidR="00BA5959" w:rsidRPr="009F2C75" w:rsidRDefault="00BB3DCB" w:rsidP="00C240BB">
      <w:pPr>
        <w:pStyle w:val="NoSpacing"/>
        <w:shd w:val="clear" w:color="auto" w:fill="D9D9D9" w:themeFill="background1" w:themeFillShade="D9"/>
        <w:rPr>
          <w:rFonts w:asciiTheme="majorHAnsi" w:hAnsiTheme="majorHAnsi"/>
          <w:b/>
          <w:bCs/>
        </w:rPr>
      </w:pPr>
      <w:r>
        <w:rPr>
          <w:rFonts w:asciiTheme="majorHAnsi" w:hAnsiTheme="majorHAnsi"/>
          <w:b/>
          <w:bCs/>
        </w:rPr>
        <w:t>8</w:t>
      </w:r>
      <w:r w:rsidR="00BA5959" w:rsidRPr="009F2C75">
        <w:rPr>
          <w:rFonts w:asciiTheme="majorHAnsi" w:hAnsiTheme="majorHAnsi"/>
          <w:b/>
          <w:bCs/>
        </w:rPr>
        <w:t xml:space="preserve">. </w:t>
      </w:r>
      <w:r w:rsidR="000532EE" w:rsidRPr="009F2C75">
        <w:rPr>
          <w:rFonts w:asciiTheme="majorHAnsi" w:hAnsiTheme="majorHAnsi"/>
          <w:b/>
          <w:bCs/>
        </w:rPr>
        <w:t>PAYING HOLIDAY PAY TO PART-YEAR OR IRREGULAR HOURS WORKERS</w:t>
      </w:r>
    </w:p>
    <w:p w14:paraId="59B01C36" w14:textId="77777777" w:rsidR="00BA5959" w:rsidRPr="0025116B" w:rsidRDefault="00BA5959" w:rsidP="0025116B">
      <w:pPr>
        <w:pStyle w:val="NoSpacing"/>
        <w:rPr>
          <w:rFonts w:asciiTheme="majorHAnsi" w:hAnsiTheme="majorHAnsi"/>
        </w:rPr>
      </w:pPr>
    </w:p>
    <w:p w14:paraId="1DEB61F3" w14:textId="77777777" w:rsidR="00FA1BB1" w:rsidRPr="0025116B" w:rsidRDefault="00FA1BB1" w:rsidP="0025116B">
      <w:pPr>
        <w:pStyle w:val="NoSpacing"/>
        <w:rPr>
          <w:rFonts w:asciiTheme="majorHAnsi" w:hAnsiTheme="majorHAnsi"/>
        </w:rPr>
      </w:pPr>
      <w:r w:rsidRPr="0025116B">
        <w:rPr>
          <w:rFonts w:asciiTheme="majorHAnsi" w:hAnsiTheme="majorHAnsi"/>
        </w:rPr>
        <w:t>For leave years beginning on or after 1 April 2024, there are two alternative methods for paying holiday pay and you can choose which one you use.</w:t>
      </w:r>
    </w:p>
    <w:p w14:paraId="53AB9AD3" w14:textId="77777777" w:rsidR="009F2C75" w:rsidRDefault="009F2C75" w:rsidP="0025116B">
      <w:pPr>
        <w:pStyle w:val="NoSpacing"/>
        <w:rPr>
          <w:rFonts w:asciiTheme="majorHAnsi" w:hAnsiTheme="majorHAnsi"/>
        </w:rPr>
      </w:pPr>
    </w:p>
    <w:p w14:paraId="6A197414" w14:textId="39502BC3" w:rsidR="00FA1BB1" w:rsidRPr="0025116B" w:rsidRDefault="00FA1BB1" w:rsidP="0025116B">
      <w:pPr>
        <w:pStyle w:val="NoSpacing"/>
        <w:rPr>
          <w:rFonts w:asciiTheme="majorHAnsi" w:hAnsiTheme="majorHAnsi"/>
        </w:rPr>
      </w:pPr>
      <w:r w:rsidRPr="0025116B">
        <w:rPr>
          <w:rFonts w:asciiTheme="majorHAnsi" w:hAnsiTheme="majorHAnsi"/>
        </w:rPr>
        <w:t xml:space="preserve">You don’t have to use the same method for </w:t>
      </w:r>
      <w:proofErr w:type="gramStart"/>
      <w:r w:rsidRPr="0025116B">
        <w:rPr>
          <w:rFonts w:asciiTheme="majorHAnsi" w:hAnsiTheme="majorHAnsi"/>
        </w:rPr>
        <w:t>all of</w:t>
      </w:r>
      <w:proofErr w:type="gramEnd"/>
      <w:r w:rsidRPr="0025116B">
        <w:rPr>
          <w:rFonts w:asciiTheme="majorHAnsi" w:hAnsiTheme="majorHAnsi"/>
        </w:rPr>
        <w:t xml:space="preserve"> your workers of these types. You may use different methods for different groups of workers but be careful not to discriminate when choosing which method will apply to who.</w:t>
      </w:r>
    </w:p>
    <w:p w14:paraId="5EBE5BD6" w14:textId="77777777" w:rsidR="009F2C75" w:rsidRDefault="009F2C75" w:rsidP="0025116B">
      <w:pPr>
        <w:pStyle w:val="NoSpacing"/>
        <w:rPr>
          <w:rFonts w:asciiTheme="majorHAnsi" w:hAnsiTheme="majorHAnsi"/>
        </w:rPr>
      </w:pPr>
      <w:bookmarkStart w:id="4" w:name="WKID-202403211136230663-25763003"/>
    </w:p>
    <w:p w14:paraId="6D870412" w14:textId="795F7953" w:rsidR="00FA1BB1" w:rsidRPr="009F2C75" w:rsidRDefault="00FA1BB1" w:rsidP="0025116B">
      <w:pPr>
        <w:pStyle w:val="NoSpacing"/>
        <w:rPr>
          <w:rFonts w:asciiTheme="majorHAnsi" w:hAnsiTheme="majorHAnsi"/>
          <w:b/>
          <w:bCs/>
        </w:rPr>
      </w:pPr>
      <w:r w:rsidRPr="009F2C75">
        <w:rPr>
          <w:rFonts w:asciiTheme="majorHAnsi" w:hAnsiTheme="majorHAnsi"/>
          <w:b/>
          <w:bCs/>
        </w:rPr>
        <w:t>Pay holiday pay when worker takes holiday (default method)</w:t>
      </w:r>
      <w:bookmarkEnd w:id="4"/>
    </w:p>
    <w:p w14:paraId="39E3548D" w14:textId="77777777" w:rsidR="008A73E8" w:rsidRDefault="008A73E8" w:rsidP="0025116B">
      <w:pPr>
        <w:pStyle w:val="NoSpacing"/>
        <w:rPr>
          <w:rFonts w:asciiTheme="majorHAnsi" w:hAnsiTheme="majorHAnsi"/>
        </w:rPr>
      </w:pPr>
    </w:p>
    <w:p w14:paraId="6FB41A73" w14:textId="4D4DB9F2" w:rsidR="00FA1BB1" w:rsidRPr="0025116B" w:rsidRDefault="00FA1BB1" w:rsidP="0025116B">
      <w:pPr>
        <w:pStyle w:val="NoSpacing"/>
        <w:rPr>
          <w:rFonts w:asciiTheme="majorHAnsi" w:hAnsiTheme="majorHAnsi"/>
        </w:rPr>
      </w:pPr>
      <w:r w:rsidRPr="0025116B">
        <w:rPr>
          <w:rFonts w:asciiTheme="majorHAnsi" w:hAnsiTheme="majorHAnsi"/>
        </w:rPr>
        <w:t xml:space="preserve">If you choose this method, you will pay workers their holiday pay when they take the holiday that they have accrued. The same method of calculation will be used as is currently used to work out holiday pay for someone whose pay varies, </w:t>
      </w:r>
      <w:proofErr w:type="spellStart"/>
      <w:r w:rsidRPr="0025116B">
        <w:rPr>
          <w:rFonts w:asciiTheme="majorHAnsi" w:hAnsiTheme="majorHAnsi"/>
        </w:rPr>
        <w:t>ie</w:t>
      </w:r>
      <w:proofErr w:type="spellEnd"/>
      <w:r w:rsidRPr="0025116B">
        <w:rPr>
          <w:rFonts w:asciiTheme="majorHAnsi" w:hAnsiTheme="majorHAnsi"/>
        </w:rPr>
        <w:t xml:space="preserve"> calculate the average paid over the previous 52 weeks. This should be based on “normal” pay, which includes overtime and commission.</w:t>
      </w:r>
    </w:p>
    <w:p w14:paraId="7701F0C8" w14:textId="77777777" w:rsidR="008A73E8" w:rsidRDefault="008A73E8" w:rsidP="0025116B">
      <w:pPr>
        <w:pStyle w:val="NoSpacing"/>
        <w:rPr>
          <w:rFonts w:asciiTheme="majorHAnsi" w:hAnsiTheme="majorHAnsi"/>
        </w:rPr>
      </w:pPr>
      <w:bookmarkStart w:id="5" w:name="WKID-202403211137130641-75542851"/>
    </w:p>
    <w:p w14:paraId="6B67ADFA" w14:textId="612F84AE" w:rsidR="00FA1BB1" w:rsidRPr="008A73E8" w:rsidRDefault="00FA1BB1" w:rsidP="0025116B">
      <w:pPr>
        <w:pStyle w:val="NoSpacing"/>
        <w:rPr>
          <w:rFonts w:asciiTheme="majorHAnsi" w:hAnsiTheme="majorHAnsi"/>
          <w:b/>
          <w:bCs/>
        </w:rPr>
      </w:pPr>
      <w:r w:rsidRPr="008A73E8">
        <w:rPr>
          <w:rFonts w:asciiTheme="majorHAnsi" w:hAnsiTheme="majorHAnsi"/>
          <w:b/>
          <w:bCs/>
        </w:rPr>
        <w:t>Rolled-up holiday pay — for annual leave years beginning on or after 1 April 2024</w:t>
      </w:r>
      <w:bookmarkEnd w:id="5"/>
    </w:p>
    <w:p w14:paraId="48EAB61F" w14:textId="77777777" w:rsidR="008A73E8" w:rsidRDefault="008A73E8" w:rsidP="0025116B">
      <w:pPr>
        <w:pStyle w:val="NoSpacing"/>
        <w:rPr>
          <w:rFonts w:asciiTheme="majorHAnsi" w:hAnsiTheme="majorHAnsi"/>
        </w:rPr>
      </w:pPr>
    </w:p>
    <w:p w14:paraId="038A47EF" w14:textId="207F263D" w:rsidR="00FA1BB1" w:rsidRPr="0025116B" w:rsidRDefault="00FA1BB1" w:rsidP="0025116B">
      <w:pPr>
        <w:pStyle w:val="NoSpacing"/>
        <w:rPr>
          <w:rFonts w:asciiTheme="majorHAnsi" w:hAnsiTheme="majorHAnsi"/>
        </w:rPr>
      </w:pPr>
      <w:r w:rsidRPr="0025116B">
        <w:rPr>
          <w:rFonts w:asciiTheme="majorHAnsi" w:hAnsiTheme="majorHAnsi"/>
        </w:rPr>
        <w:t>Alternatively, employers can choose to pay "rolled-up holiday pay” (RUHP). This is when a worker is paid holiday pay at the same time as they receive their wages, so the payments are “rolled” together.</w:t>
      </w:r>
    </w:p>
    <w:p w14:paraId="5A79F0CD" w14:textId="77777777" w:rsidR="008A73E8" w:rsidRDefault="008A73E8" w:rsidP="0025116B">
      <w:pPr>
        <w:pStyle w:val="NoSpacing"/>
        <w:rPr>
          <w:rFonts w:asciiTheme="majorHAnsi" w:hAnsiTheme="majorHAnsi"/>
        </w:rPr>
      </w:pPr>
    </w:p>
    <w:p w14:paraId="6AF655E4" w14:textId="6F59936F" w:rsidR="00FA1BB1" w:rsidRPr="0025116B" w:rsidRDefault="00FA1BB1" w:rsidP="0025116B">
      <w:pPr>
        <w:pStyle w:val="NoSpacing"/>
        <w:rPr>
          <w:rFonts w:asciiTheme="majorHAnsi" w:hAnsiTheme="majorHAnsi"/>
        </w:rPr>
      </w:pPr>
      <w:r w:rsidRPr="0025116B">
        <w:rPr>
          <w:rFonts w:asciiTheme="majorHAnsi" w:hAnsiTheme="majorHAnsi"/>
        </w:rPr>
        <w:t xml:space="preserve">Paying RUHP means adding on an extra 12.07% of total pay for work done in the pay period and paying it in each pay packet. The worker is then not paid when they </w:t>
      </w:r>
      <w:proofErr w:type="gramStart"/>
      <w:r w:rsidRPr="0025116B">
        <w:rPr>
          <w:rFonts w:asciiTheme="majorHAnsi" w:hAnsiTheme="majorHAnsi"/>
        </w:rPr>
        <w:t>actually take</w:t>
      </w:r>
      <w:proofErr w:type="gramEnd"/>
      <w:r w:rsidRPr="0025116B">
        <w:rPr>
          <w:rFonts w:asciiTheme="majorHAnsi" w:hAnsiTheme="majorHAnsi"/>
        </w:rPr>
        <w:t xml:space="preserve"> the holiday they have accrued. Note that the extra element added on to pay is calculated on total pay earned in that pay period. A worker’s payslip must clearly set out the element of pay attributed to RUHP. Workers who receive RUHP must still be permitted, and encouraged, to take their holiday entitlement.</w:t>
      </w:r>
    </w:p>
    <w:p w14:paraId="40096871" w14:textId="77777777" w:rsidR="00DE0C01" w:rsidRDefault="00DE0C01" w:rsidP="0025116B">
      <w:pPr>
        <w:pStyle w:val="NoSpacing"/>
        <w:rPr>
          <w:rFonts w:asciiTheme="majorHAnsi" w:hAnsiTheme="majorHAnsi"/>
        </w:rPr>
      </w:pPr>
    </w:p>
    <w:p w14:paraId="26EAE371" w14:textId="736FF2CB" w:rsidR="00BA5959" w:rsidRPr="00DE0C01" w:rsidRDefault="00BB3DCB" w:rsidP="0018533E">
      <w:pPr>
        <w:pStyle w:val="NoSpacing"/>
        <w:shd w:val="clear" w:color="auto" w:fill="D9D9D9" w:themeFill="background1" w:themeFillShade="D9"/>
        <w:rPr>
          <w:rFonts w:asciiTheme="majorHAnsi" w:hAnsiTheme="majorHAnsi"/>
          <w:b/>
          <w:bCs/>
        </w:rPr>
      </w:pPr>
      <w:r>
        <w:rPr>
          <w:rFonts w:asciiTheme="majorHAnsi" w:hAnsiTheme="majorHAnsi"/>
          <w:b/>
          <w:bCs/>
        </w:rPr>
        <w:t>9</w:t>
      </w:r>
      <w:r w:rsidR="00BA5959" w:rsidRPr="00DE0C01">
        <w:rPr>
          <w:rFonts w:asciiTheme="majorHAnsi" w:hAnsiTheme="majorHAnsi"/>
          <w:b/>
          <w:bCs/>
        </w:rPr>
        <w:t xml:space="preserve">. </w:t>
      </w:r>
      <w:r w:rsidR="00C71A68" w:rsidRPr="00DE0C01">
        <w:rPr>
          <w:rFonts w:asciiTheme="majorHAnsi" w:hAnsiTheme="majorHAnsi"/>
          <w:b/>
          <w:bCs/>
        </w:rPr>
        <w:t>RESOLVING HOLIDAY CALCULATION ERRORS</w:t>
      </w:r>
    </w:p>
    <w:p w14:paraId="33AB96E9" w14:textId="77777777" w:rsidR="00BA5959" w:rsidRPr="0025116B" w:rsidRDefault="00BA5959" w:rsidP="0025116B">
      <w:pPr>
        <w:pStyle w:val="NoSpacing"/>
        <w:rPr>
          <w:rFonts w:asciiTheme="majorHAnsi" w:hAnsiTheme="majorHAnsi"/>
        </w:rPr>
      </w:pPr>
    </w:p>
    <w:p w14:paraId="4DC28FFC" w14:textId="77777777" w:rsidR="00985968" w:rsidRPr="00DE0C01" w:rsidRDefault="00985968" w:rsidP="0025116B">
      <w:pPr>
        <w:pStyle w:val="NoSpacing"/>
        <w:rPr>
          <w:rFonts w:asciiTheme="majorHAnsi" w:hAnsiTheme="majorHAnsi"/>
          <w:b/>
          <w:bCs/>
        </w:rPr>
      </w:pPr>
      <w:bookmarkStart w:id="6" w:name="WKID-202311281045570725-26039718"/>
      <w:r w:rsidRPr="00DE0C01">
        <w:rPr>
          <w:rFonts w:asciiTheme="majorHAnsi" w:hAnsiTheme="majorHAnsi"/>
          <w:b/>
          <w:bCs/>
        </w:rPr>
        <w:t>Paying in lieu</w:t>
      </w:r>
      <w:bookmarkEnd w:id="6"/>
    </w:p>
    <w:p w14:paraId="35AD0DF3" w14:textId="77777777" w:rsidR="00DE0C01" w:rsidRDefault="00DE0C01" w:rsidP="0025116B">
      <w:pPr>
        <w:pStyle w:val="NoSpacing"/>
        <w:rPr>
          <w:rFonts w:asciiTheme="majorHAnsi" w:hAnsiTheme="majorHAnsi"/>
        </w:rPr>
      </w:pPr>
    </w:p>
    <w:p w14:paraId="3C1A86B9" w14:textId="7BE5B065" w:rsidR="00985968" w:rsidRPr="0025116B" w:rsidRDefault="00985968" w:rsidP="0025116B">
      <w:pPr>
        <w:pStyle w:val="NoSpacing"/>
        <w:rPr>
          <w:rFonts w:asciiTheme="majorHAnsi" w:hAnsiTheme="majorHAnsi"/>
        </w:rPr>
      </w:pPr>
      <w:r w:rsidRPr="0025116B">
        <w:rPr>
          <w:rFonts w:asciiTheme="majorHAnsi" w:hAnsiTheme="majorHAnsi"/>
        </w:rPr>
        <w:t>Paying in lieu of statutory minimum entitlement (5.6 weeks) is not allowed unless employment is terminated. You must let employees take the full 5.6 weeks’ leave within the current holiday year.</w:t>
      </w:r>
    </w:p>
    <w:p w14:paraId="656206C2" w14:textId="77777777" w:rsidR="00DE0C01" w:rsidRDefault="00DE0C01" w:rsidP="0025116B">
      <w:pPr>
        <w:pStyle w:val="NoSpacing"/>
        <w:rPr>
          <w:rFonts w:asciiTheme="majorHAnsi" w:hAnsiTheme="majorHAnsi"/>
        </w:rPr>
      </w:pPr>
      <w:bookmarkStart w:id="7" w:name="WKID-202311281046170542-87743707"/>
    </w:p>
    <w:p w14:paraId="60AF2851" w14:textId="4AFCF579" w:rsidR="00985968" w:rsidRPr="00DE0C01" w:rsidRDefault="00985968" w:rsidP="0025116B">
      <w:pPr>
        <w:pStyle w:val="NoSpacing"/>
        <w:rPr>
          <w:rFonts w:asciiTheme="majorHAnsi" w:hAnsiTheme="majorHAnsi"/>
          <w:b/>
          <w:bCs/>
        </w:rPr>
      </w:pPr>
      <w:r w:rsidRPr="00DE0C01">
        <w:rPr>
          <w:rFonts w:asciiTheme="majorHAnsi" w:hAnsiTheme="majorHAnsi"/>
          <w:b/>
          <w:bCs/>
        </w:rPr>
        <w:t>Failing to pay backpay</w:t>
      </w:r>
      <w:bookmarkEnd w:id="7"/>
    </w:p>
    <w:p w14:paraId="2A2FA881" w14:textId="77777777" w:rsidR="00DE0C01" w:rsidRDefault="00DE0C01" w:rsidP="0025116B">
      <w:pPr>
        <w:pStyle w:val="NoSpacing"/>
        <w:rPr>
          <w:rFonts w:asciiTheme="majorHAnsi" w:hAnsiTheme="majorHAnsi"/>
        </w:rPr>
      </w:pPr>
    </w:p>
    <w:p w14:paraId="3AAAA5B6" w14:textId="7CAA3E94" w:rsidR="00985968" w:rsidRDefault="00985968" w:rsidP="0025116B">
      <w:pPr>
        <w:pStyle w:val="NoSpacing"/>
        <w:rPr>
          <w:rFonts w:asciiTheme="majorHAnsi" w:hAnsiTheme="majorHAnsi"/>
        </w:rPr>
      </w:pPr>
      <w:r w:rsidRPr="0025116B">
        <w:rPr>
          <w:rFonts w:asciiTheme="majorHAnsi" w:hAnsiTheme="majorHAnsi"/>
        </w:rPr>
        <w:t xml:space="preserve">Where an employee or union request that backpay is given for previously underpaid holiday, it’s likely you will have to do so, otherwise you are at significant risk of receiving an unlawful deduction from wages claims. Usually, an unlawful deductions claim must be paid within three months of the last deduction, or in this case, within three months of the last holiday pay payment. However, since the Supreme Court decision in Chief Constable of the Police Service of Northern Ireland v Agnew [2023], where a series of unlawful deductions have occurred, only the first of those </w:t>
      </w:r>
      <w:r w:rsidRPr="0025116B">
        <w:rPr>
          <w:rFonts w:asciiTheme="majorHAnsi" w:hAnsiTheme="majorHAnsi"/>
        </w:rPr>
        <w:lastRenderedPageBreak/>
        <w:t>deductions must be within three months of the claim being made: as long as there is a factual link between each unlawful deduction, the series will not be broken even where there is a gap of more than three months in unlawful deduction.</w:t>
      </w:r>
    </w:p>
    <w:p w14:paraId="4209542A" w14:textId="77777777" w:rsidR="00F07D4A" w:rsidRPr="0025116B" w:rsidRDefault="00F07D4A" w:rsidP="0025116B">
      <w:pPr>
        <w:pStyle w:val="NoSpacing"/>
        <w:rPr>
          <w:rFonts w:asciiTheme="majorHAnsi" w:hAnsiTheme="majorHAnsi"/>
        </w:rPr>
      </w:pPr>
    </w:p>
    <w:p w14:paraId="3FA3FB61" w14:textId="77777777" w:rsidR="00985968" w:rsidRPr="0025116B" w:rsidRDefault="00985968" w:rsidP="0025116B">
      <w:pPr>
        <w:pStyle w:val="NoSpacing"/>
        <w:rPr>
          <w:rFonts w:asciiTheme="majorHAnsi" w:hAnsiTheme="majorHAnsi"/>
        </w:rPr>
      </w:pPr>
      <w:r w:rsidRPr="0025116B">
        <w:rPr>
          <w:rFonts w:asciiTheme="majorHAnsi" w:hAnsiTheme="majorHAnsi"/>
        </w:rPr>
        <w:t>Additionally, there are the risks of disrupting employee relations, thus reducing productivity, engagement and satisfaction, as well as action from trade unions.</w:t>
      </w:r>
    </w:p>
    <w:p w14:paraId="32E7FE17" w14:textId="77777777" w:rsidR="00F07D4A" w:rsidRDefault="00F07D4A" w:rsidP="0025116B">
      <w:pPr>
        <w:pStyle w:val="NoSpacing"/>
        <w:rPr>
          <w:rFonts w:asciiTheme="majorHAnsi" w:hAnsiTheme="majorHAnsi"/>
        </w:rPr>
      </w:pPr>
    </w:p>
    <w:p w14:paraId="2EDA75B1" w14:textId="1DB1BE41" w:rsidR="00985968" w:rsidRPr="00F07D4A" w:rsidRDefault="00BB3DCB" w:rsidP="00C965AB">
      <w:pPr>
        <w:pStyle w:val="NoSpacing"/>
        <w:shd w:val="clear" w:color="auto" w:fill="D9D9D9" w:themeFill="background1" w:themeFillShade="D9"/>
        <w:rPr>
          <w:rFonts w:asciiTheme="majorHAnsi" w:hAnsiTheme="majorHAnsi"/>
          <w:b/>
          <w:bCs/>
        </w:rPr>
      </w:pPr>
      <w:r>
        <w:rPr>
          <w:rFonts w:asciiTheme="majorHAnsi" w:hAnsiTheme="majorHAnsi"/>
          <w:b/>
          <w:bCs/>
        </w:rPr>
        <w:t>10</w:t>
      </w:r>
      <w:r w:rsidR="00985968" w:rsidRPr="00F07D4A">
        <w:rPr>
          <w:rFonts w:asciiTheme="majorHAnsi" w:hAnsiTheme="majorHAnsi"/>
          <w:b/>
          <w:bCs/>
        </w:rPr>
        <w:t>. CONSEQUENCES OF FAILING</w:t>
      </w:r>
      <w:r w:rsidR="003A1861" w:rsidRPr="00F07D4A">
        <w:rPr>
          <w:rFonts w:asciiTheme="majorHAnsi" w:hAnsiTheme="majorHAnsi"/>
          <w:b/>
          <w:bCs/>
        </w:rPr>
        <w:t xml:space="preserve"> TO GIVE SUFFICIENT HOLIDAY</w:t>
      </w:r>
    </w:p>
    <w:p w14:paraId="181D4611" w14:textId="77777777" w:rsidR="00F07D4A" w:rsidRDefault="00F07D4A" w:rsidP="0025116B">
      <w:pPr>
        <w:pStyle w:val="NoSpacing"/>
        <w:rPr>
          <w:rFonts w:asciiTheme="majorHAnsi" w:hAnsiTheme="majorHAnsi"/>
        </w:rPr>
      </w:pPr>
    </w:p>
    <w:p w14:paraId="726FCD03" w14:textId="090B7893" w:rsidR="00C43A8E" w:rsidRPr="0025116B" w:rsidRDefault="00C43A8E" w:rsidP="0025116B">
      <w:pPr>
        <w:pStyle w:val="NoSpacing"/>
        <w:rPr>
          <w:rFonts w:asciiTheme="majorHAnsi" w:hAnsiTheme="majorHAnsi"/>
        </w:rPr>
      </w:pPr>
      <w:r w:rsidRPr="0025116B">
        <w:rPr>
          <w:rFonts w:asciiTheme="majorHAnsi" w:hAnsiTheme="majorHAnsi"/>
        </w:rPr>
        <w:t xml:space="preserve">Not providing the full 5.6 weeks’ entitlement will be in breach of the law and is not recommended. In this situation, there is a significant risk of tribunal claims, industrial action, employee grievances and resignations. There could also be wider implications for the organisation’s reputation with the </w:t>
      </w:r>
      <w:proofErr w:type="gramStart"/>
      <w:r w:rsidRPr="0025116B">
        <w:rPr>
          <w:rFonts w:asciiTheme="majorHAnsi" w:hAnsiTheme="majorHAnsi"/>
        </w:rPr>
        <w:t>general public</w:t>
      </w:r>
      <w:proofErr w:type="gramEnd"/>
      <w:r w:rsidRPr="0025116B">
        <w:rPr>
          <w:rFonts w:asciiTheme="majorHAnsi" w:hAnsiTheme="majorHAnsi"/>
        </w:rPr>
        <w:t>.</w:t>
      </w:r>
    </w:p>
    <w:p w14:paraId="5441D734" w14:textId="6C1A35E8" w:rsidR="00985968" w:rsidRPr="0025116B" w:rsidRDefault="00985968" w:rsidP="0025116B">
      <w:pPr>
        <w:pStyle w:val="NoSpacing"/>
        <w:rPr>
          <w:rFonts w:asciiTheme="majorHAnsi" w:hAnsiTheme="majorHAnsi"/>
        </w:rPr>
      </w:pPr>
    </w:p>
    <w:p w14:paraId="2BE5923F" w14:textId="77777777" w:rsidR="004A6DDE" w:rsidRPr="0025116B" w:rsidRDefault="004A6DDE" w:rsidP="0025116B">
      <w:pPr>
        <w:pStyle w:val="NoSpacing"/>
        <w:rPr>
          <w:rFonts w:asciiTheme="majorHAnsi" w:hAnsiTheme="majorHAnsi"/>
        </w:rPr>
      </w:pPr>
    </w:p>
    <w:sectPr w:rsidR="004A6DDE" w:rsidRPr="0025116B" w:rsidSect="000849C2">
      <w:headerReference w:type="even" r:id="rId8"/>
      <w:headerReference w:type="default" r:id="rId9"/>
      <w:footerReference w:type="even" r:id="rId10"/>
      <w:footerReference w:type="default" r:id="rId11"/>
      <w:headerReference w:type="first" r:id="rId12"/>
      <w:footerReference w:type="first" r:id="rId13"/>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55114" w14:textId="77777777" w:rsidR="00D2665F" w:rsidRDefault="00D2665F" w:rsidP="00C142FA">
      <w:r>
        <w:separator/>
      </w:r>
    </w:p>
  </w:endnote>
  <w:endnote w:type="continuationSeparator" w:id="0">
    <w:p w14:paraId="4FBF675C" w14:textId="77777777" w:rsidR="00D2665F" w:rsidRDefault="00D2665F" w:rsidP="00C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254C" w14:textId="77777777" w:rsidR="000E651D" w:rsidRDefault="000E6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755473872"/>
      <w:docPartObj>
        <w:docPartGallery w:val="Page Numbers (Bottom of Page)"/>
        <w:docPartUnique/>
      </w:docPartObj>
    </w:sdtPr>
    <w:sdtContent>
      <w:sdt>
        <w:sdtPr>
          <w:rPr>
            <w:rFonts w:asciiTheme="majorHAnsi" w:hAnsiTheme="majorHAnsi"/>
            <w:sz w:val="16"/>
            <w:szCs w:val="16"/>
          </w:rPr>
          <w:id w:val="1728636285"/>
          <w:docPartObj>
            <w:docPartGallery w:val="Page Numbers (Top of Page)"/>
            <w:docPartUnique/>
          </w:docPartObj>
        </w:sdtPr>
        <w:sdtContent>
          <w:p w14:paraId="34EF0C56" w14:textId="40EBE232" w:rsidR="00C142FA" w:rsidRPr="00481F5E" w:rsidRDefault="00C142FA">
            <w:pPr>
              <w:pStyle w:val="Footer"/>
              <w:jc w:val="center"/>
              <w:rPr>
                <w:rFonts w:asciiTheme="majorHAnsi" w:hAnsiTheme="majorHAnsi"/>
                <w:sz w:val="16"/>
                <w:szCs w:val="16"/>
              </w:rPr>
            </w:pPr>
            <w:r w:rsidRPr="00481F5E">
              <w:rPr>
                <w:rFonts w:asciiTheme="majorHAnsi" w:hAnsiTheme="majorHAnsi"/>
                <w:sz w:val="16"/>
                <w:szCs w:val="16"/>
              </w:rPr>
              <w:t xml:space="preserve">Page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PAGE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r w:rsidRPr="00481F5E">
              <w:rPr>
                <w:rFonts w:asciiTheme="majorHAnsi" w:hAnsiTheme="majorHAnsi"/>
                <w:sz w:val="16"/>
                <w:szCs w:val="16"/>
              </w:rPr>
              <w:t xml:space="preserve"> of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NUMPAGES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p>
        </w:sdtContent>
      </w:sdt>
    </w:sdtContent>
  </w:sdt>
  <w:p w14:paraId="577A2A30" w14:textId="77777777" w:rsidR="00C142FA" w:rsidRDefault="00C1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062" w14:textId="77777777" w:rsidR="000E651D" w:rsidRDefault="000E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587C" w14:textId="77777777" w:rsidR="00D2665F" w:rsidRDefault="00D2665F" w:rsidP="00C142FA">
      <w:r>
        <w:separator/>
      </w:r>
    </w:p>
  </w:footnote>
  <w:footnote w:type="continuationSeparator" w:id="0">
    <w:p w14:paraId="0F5E7A54" w14:textId="77777777" w:rsidR="00D2665F" w:rsidRDefault="00D2665F" w:rsidP="00C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C014" w14:textId="77777777" w:rsidR="000E651D" w:rsidRDefault="000E6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62DA" w14:textId="4C1ECDD3" w:rsidR="000E651D" w:rsidRDefault="000E6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7FE" w14:textId="77777777" w:rsidR="000E651D" w:rsidRDefault="000E6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59B87F5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02C61C49"/>
    <w:multiLevelType w:val="hybridMultilevel"/>
    <w:tmpl w:val="B6BC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7048"/>
    <w:multiLevelType w:val="hybridMultilevel"/>
    <w:tmpl w:val="A5BE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D4DE0"/>
    <w:multiLevelType w:val="hybridMultilevel"/>
    <w:tmpl w:val="84B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7405F"/>
    <w:multiLevelType w:val="hybridMultilevel"/>
    <w:tmpl w:val="85AC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C7594"/>
    <w:multiLevelType w:val="hybridMultilevel"/>
    <w:tmpl w:val="25F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0E62"/>
    <w:multiLevelType w:val="hybridMultilevel"/>
    <w:tmpl w:val="F7C2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54580"/>
    <w:multiLevelType w:val="hybridMultilevel"/>
    <w:tmpl w:val="E82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012C9"/>
    <w:multiLevelType w:val="hybridMultilevel"/>
    <w:tmpl w:val="C5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D13BB"/>
    <w:multiLevelType w:val="hybridMultilevel"/>
    <w:tmpl w:val="24C8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C2A69"/>
    <w:multiLevelType w:val="hybridMultilevel"/>
    <w:tmpl w:val="5A88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E3F56"/>
    <w:multiLevelType w:val="hybridMultilevel"/>
    <w:tmpl w:val="3368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117D1"/>
    <w:multiLevelType w:val="hybridMultilevel"/>
    <w:tmpl w:val="DA8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F1152"/>
    <w:multiLevelType w:val="hybridMultilevel"/>
    <w:tmpl w:val="4E3A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82736"/>
    <w:multiLevelType w:val="hybridMultilevel"/>
    <w:tmpl w:val="1F0A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E728B"/>
    <w:multiLevelType w:val="hybridMultilevel"/>
    <w:tmpl w:val="0BA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C6674"/>
    <w:multiLevelType w:val="hybridMultilevel"/>
    <w:tmpl w:val="874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B5A0E"/>
    <w:multiLevelType w:val="hybridMultilevel"/>
    <w:tmpl w:val="1C8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33BC0"/>
    <w:multiLevelType w:val="hybridMultilevel"/>
    <w:tmpl w:val="F02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E7F4C"/>
    <w:multiLevelType w:val="hybridMultilevel"/>
    <w:tmpl w:val="CBF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45BE2"/>
    <w:multiLevelType w:val="hybridMultilevel"/>
    <w:tmpl w:val="8100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A52682"/>
    <w:multiLevelType w:val="hybridMultilevel"/>
    <w:tmpl w:val="E630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6084C"/>
    <w:multiLevelType w:val="hybridMultilevel"/>
    <w:tmpl w:val="143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1566A"/>
    <w:multiLevelType w:val="hybridMultilevel"/>
    <w:tmpl w:val="F11C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F6C97"/>
    <w:multiLevelType w:val="hybridMultilevel"/>
    <w:tmpl w:val="7C369E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22774F"/>
    <w:multiLevelType w:val="hybridMultilevel"/>
    <w:tmpl w:val="C49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37D61"/>
    <w:multiLevelType w:val="hybridMultilevel"/>
    <w:tmpl w:val="9C1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1A7B23"/>
    <w:multiLevelType w:val="hybridMultilevel"/>
    <w:tmpl w:val="755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962344"/>
    <w:multiLevelType w:val="hybridMultilevel"/>
    <w:tmpl w:val="4F60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50689"/>
    <w:multiLevelType w:val="hybridMultilevel"/>
    <w:tmpl w:val="E1E0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91F42"/>
    <w:multiLevelType w:val="hybridMultilevel"/>
    <w:tmpl w:val="A6B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315DCA"/>
    <w:multiLevelType w:val="multilevel"/>
    <w:tmpl w:val="F22AF2C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32" w15:restartNumberingAfterBreak="0">
    <w:nsid w:val="747929B9"/>
    <w:multiLevelType w:val="hybridMultilevel"/>
    <w:tmpl w:val="AAFE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444592"/>
    <w:multiLevelType w:val="hybridMultilevel"/>
    <w:tmpl w:val="42ECEA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9B22A3"/>
    <w:multiLevelType w:val="hybridMultilevel"/>
    <w:tmpl w:val="DFE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42064">
    <w:abstractNumId w:val="11"/>
  </w:num>
  <w:num w:numId="2" w16cid:durableId="1762993600">
    <w:abstractNumId w:val="29"/>
  </w:num>
  <w:num w:numId="3" w16cid:durableId="220944037">
    <w:abstractNumId w:val="22"/>
  </w:num>
  <w:num w:numId="4" w16cid:durableId="337974594">
    <w:abstractNumId w:val="15"/>
  </w:num>
  <w:num w:numId="5" w16cid:durableId="1586114452">
    <w:abstractNumId w:val="30"/>
  </w:num>
  <w:num w:numId="6" w16cid:durableId="2117210908">
    <w:abstractNumId w:val="17"/>
  </w:num>
  <w:num w:numId="7" w16cid:durableId="1742561638">
    <w:abstractNumId w:val="21"/>
  </w:num>
  <w:num w:numId="8" w16cid:durableId="568460222">
    <w:abstractNumId w:val="14"/>
  </w:num>
  <w:num w:numId="9" w16cid:durableId="794982932">
    <w:abstractNumId w:val="16"/>
  </w:num>
  <w:num w:numId="10" w16cid:durableId="636491029">
    <w:abstractNumId w:val="5"/>
  </w:num>
  <w:num w:numId="11" w16cid:durableId="1929921380">
    <w:abstractNumId w:val="3"/>
  </w:num>
  <w:num w:numId="12" w16cid:durableId="753092946">
    <w:abstractNumId w:val="33"/>
  </w:num>
  <w:num w:numId="13" w16cid:durableId="77364619">
    <w:abstractNumId w:val="6"/>
  </w:num>
  <w:num w:numId="14" w16cid:durableId="1428892173">
    <w:abstractNumId w:val="26"/>
  </w:num>
  <w:num w:numId="15" w16cid:durableId="487092253">
    <w:abstractNumId w:val="18"/>
  </w:num>
  <w:num w:numId="16" w16cid:durableId="1951669803">
    <w:abstractNumId w:val="9"/>
  </w:num>
  <w:num w:numId="17" w16cid:durableId="1023441657">
    <w:abstractNumId w:val="32"/>
  </w:num>
  <w:num w:numId="18" w16cid:durableId="1339504600">
    <w:abstractNumId w:val="4"/>
  </w:num>
  <w:num w:numId="19" w16cid:durableId="1433158952">
    <w:abstractNumId w:val="19"/>
  </w:num>
  <w:num w:numId="20" w16cid:durableId="1818719086">
    <w:abstractNumId w:val="10"/>
  </w:num>
  <w:num w:numId="21" w16cid:durableId="565579066">
    <w:abstractNumId w:val="7"/>
  </w:num>
  <w:num w:numId="22" w16cid:durableId="704796775">
    <w:abstractNumId w:val="13"/>
  </w:num>
  <w:num w:numId="23" w16cid:durableId="1217667893">
    <w:abstractNumId w:val="28"/>
  </w:num>
  <w:num w:numId="24" w16cid:durableId="195626743">
    <w:abstractNumId w:val="25"/>
  </w:num>
  <w:num w:numId="25" w16cid:durableId="473958028">
    <w:abstractNumId w:val="23"/>
  </w:num>
  <w:num w:numId="26" w16cid:durableId="1861890067">
    <w:abstractNumId w:val="2"/>
  </w:num>
  <w:num w:numId="27" w16cid:durableId="102699404">
    <w:abstractNumId w:val="1"/>
  </w:num>
  <w:num w:numId="28" w16cid:durableId="1380856248">
    <w:abstractNumId w:val="8"/>
  </w:num>
  <w:num w:numId="29" w16cid:durableId="2063868212">
    <w:abstractNumId w:val="34"/>
  </w:num>
  <w:num w:numId="30" w16cid:durableId="713432368">
    <w:abstractNumId w:val="27"/>
  </w:num>
  <w:num w:numId="31" w16cid:durableId="765004371">
    <w:abstractNumId w:val="20"/>
  </w:num>
  <w:num w:numId="32" w16cid:durableId="1273978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6026773">
    <w:abstractNumId w:val="31"/>
  </w:num>
  <w:num w:numId="34" w16cid:durableId="1156607311">
    <w:abstractNumId w:val="24"/>
  </w:num>
  <w:num w:numId="35" w16cid:durableId="144870143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6B"/>
    <w:rsid w:val="00002F4B"/>
    <w:rsid w:val="000103A5"/>
    <w:rsid w:val="00010CC4"/>
    <w:rsid w:val="0003586E"/>
    <w:rsid w:val="000373B0"/>
    <w:rsid w:val="000378D1"/>
    <w:rsid w:val="00042B14"/>
    <w:rsid w:val="000532EE"/>
    <w:rsid w:val="0005338C"/>
    <w:rsid w:val="00054160"/>
    <w:rsid w:val="0005639C"/>
    <w:rsid w:val="00057F9E"/>
    <w:rsid w:val="00064588"/>
    <w:rsid w:val="00081890"/>
    <w:rsid w:val="000849C2"/>
    <w:rsid w:val="00087C51"/>
    <w:rsid w:val="0009260E"/>
    <w:rsid w:val="00095226"/>
    <w:rsid w:val="000A0E34"/>
    <w:rsid w:val="000A462F"/>
    <w:rsid w:val="000B072D"/>
    <w:rsid w:val="000C5CD0"/>
    <w:rsid w:val="000D2CAE"/>
    <w:rsid w:val="000D4D4E"/>
    <w:rsid w:val="000E3E6C"/>
    <w:rsid w:val="000E651D"/>
    <w:rsid w:val="000F6570"/>
    <w:rsid w:val="000F689D"/>
    <w:rsid w:val="00101C46"/>
    <w:rsid w:val="00104953"/>
    <w:rsid w:val="00120878"/>
    <w:rsid w:val="00121049"/>
    <w:rsid w:val="00130B7E"/>
    <w:rsid w:val="00133A6B"/>
    <w:rsid w:val="00136CF4"/>
    <w:rsid w:val="00141A86"/>
    <w:rsid w:val="001457C7"/>
    <w:rsid w:val="00156920"/>
    <w:rsid w:val="00166BAC"/>
    <w:rsid w:val="001715B6"/>
    <w:rsid w:val="001736D0"/>
    <w:rsid w:val="0017523E"/>
    <w:rsid w:val="00177CAA"/>
    <w:rsid w:val="00181583"/>
    <w:rsid w:val="0018533E"/>
    <w:rsid w:val="0019176B"/>
    <w:rsid w:val="00192A17"/>
    <w:rsid w:val="00192B6F"/>
    <w:rsid w:val="0019512B"/>
    <w:rsid w:val="00196AD2"/>
    <w:rsid w:val="001A1EB4"/>
    <w:rsid w:val="001A5033"/>
    <w:rsid w:val="001B48A9"/>
    <w:rsid w:val="001B4C01"/>
    <w:rsid w:val="001B72A4"/>
    <w:rsid w:val="001C028A"/>
    <w:rsid w:val="001C194E"/>
    <w:rsid w:val="001C37B9"/>
    <w:rsid w:val="001D1FD9"/>
    <w:rsid w:val="001D4BF2"/>
    <w:rsid w:val="001E6688"/>
    <w:rsid w:val="001F18FF"/>
    <w:rsid w:val="00201ED4"/>
    <w:rsid w:val="00206F9C"/>
    <w:rsid w:val="00213577"/>
    <w:rsid w:val="0021775B"/>
    <w:rsid w:val="00220605"/>
    <w:rsid w:val="002378B3"/>
    <w:rsid w:val="002402BE"/>
    <w:rsid w:val="00244494"/>
    <w:rsid w:val="00250B34"/>
    <w:rsid w:val="0025116B"/>
    <w:rsid w:val="002516FB"/>
    <w:rsid w:val="00251D27"/>
    <w:rsid w:val="00253F0F"/>
    <w:rsid w:val="00254A63"/>
    <w:rsid w:val="002616A4"/>
    <w:rsid w:val="00272A7E"/>
    <w:rsid w:val="00274408"/>
    <w:rsid w:val="00275A31"/>
    <w:rsid w:val="00283EF5"/>
    <w:rsid w:val="00284298"/>
    <w:rsid w:val="00286C32"/>
    <w:rsid w:val="00294E28"/>
    <w:rsid w:val="002951C1"/>
    <w:rsid w:val="0029650A"/>
    <w:rsid w:val="002A3A18"/>
    <w:rsid w:val="002A706C"/>
    <w:rsid w:val="002C74FD"/>
    <w:rsid w:val="002C7B48"/>
    <w:rsid w:val="002D0F26"/>
    <w:rsid w:val="002D43AE"/>
    <w:rsid w:val="002E5E6E"/>
    <w:rsid w:val="002E79A9"/>
    <w:rsid w:val="002F5436"/>
    <w:rsid w:val="002F7E27"/>
    <w:rsid w:val="0031332B"/>
    <w:rsid w:val="003242E8"/>
    <w:rsid w:val="00326A20"/>
    <w:rsid w:val="003303FD"/>
    <w:rsid w:val="00340073"/>
    <w:rsid w:val="0034185E"/>
    <w:rsid w:val="0034354F"/>
    <w:rsid w:val="00352F15"/>
    <w:rsid w:val="00361B2F"/>
    <w:rsid w:val="00362937"/>
    <w:rsid w:val="00362DF9"/>
    <w:rsid w:val="0036529E"/>
    <w:rsid w:val="003653BD"/>
    <w:rsid w:val="00366B0D"/>
    <w:rsid w:val="00366C97"/>
    <w:rsid w:val="00373CBD"/>
    <w:rsid w:val="003807D2"/>
    <w:rsid w:val="003827CD"/>
    <w:rsid w:val="00384077"/>
    <w:rsid w:val="0039330F"/>
    <w:rsid w:val="003963FD"/>
    <w:rsid w:val="003A1861"/>
    <w:rsid w:val="003A6D5F"/>
    <w:rsid w:val="003C150D"/>
    <w:rsid w:val="003C3D79"/>
    <w:rsid w:val="003C50AA"/>
    <w:rsid w:val="003D4EEF"/>
    <w:rsid w:val="003D524E"/>
    <w:rsid w:val="003D7A56"/>
    <w:rsid w:val="003E0346"/>
    <w:rsid w:val="003F1CA3"/>
    <w:rsid w:val="003F2AF4"/>
    <w:rsid w:val="004022AC"/>
    <w:rsid w:val="004053EC"/>
    <w:rsid w:val="00407272"/>
    <w:rsid w:val="004074D6"/>
    <w:rsid w:val="004136CB"/>
    <w:rsid w:val="00422F10"/>
    <w:rsid w:val="004303BE"/>
    <w:rsid w:val="0043156E"/>
    <w:rsid w:val="0043391D"/>
    <w:rsid w:val="00434620"/>
    <w:rsid w:val="0043713D"/>
    <w:rsid w:val="004401CA"/>
    <w:rsid w:val="00441F22"/>
    <w:rsid w:val="00455D25"/>
    <w:rsid w:val="0045660E"/>
    <w:rsid w:val="004626B5"/>
    <w:rsid w:val="004664AE"/>
    <w:rsid w:val="00472046"/>
    <w:rsid w:val="004739DE"/>
    <w:rsid w:val="004803CC"/>
    <w:rsid w:val="00481D71"/>
    <w:rsid w:val="00481F5E"/>
    <w:rsid w:val="00482D04"/>
    <w:rsid w:val="00485BCC"/>
    <w:rsid w:val="00486A10"/>
    <w:rsid w:val="00490211"/>
    <w:rsid w:val="00495CA3"/>
    <w:rsid w:val="004967F7"/>
    <w:rsid w:val="004A41D8"/>
    <w:rsid w:val="004A6DDE"/>
    <w:rsid w:val="004A7CF7"/>
    <w:rsid w:val="004B0265"/>
    <w:rsid w:val="004B3E23"/>
    <w:rsid w:val="004B41AD"/>
    <w:rsid w:val="004B48E3"/>
    <w:rsid w:val="004B687A"/>
    <w:rsid w:val="004C7BDB"/>
    <w:rsid w:val="004D369B"/>
    <w:rsid w:val="004D50F5"/>
    <w:rsid w:val="004E1075"/>
    <w:rsid w:val="004E5304"/>
    <w:rsid w:val="004E56D6"/>
    <w:rsid w:val="004F0410"/>
    <w:rsid w:val="004F56CA"/>
    <w:rsid w:val="0050766C"/>
    <w:rsid w:val="0051033C"/>
    <w:rsid w:val="0051244A"/>
    <w:rsid w:val="00512D19"/>
    <w:rsid w:val="00514C70"/>
    <w:rsid w:val="005208F3"/>
    <w:rsid w:val="00522E6E"/>
    <w:rsid w:val="00526389"/>
    <w:rsid w:val="00532A87"/>
    <w:rsid w:val="0053573E"/>
    <w:rsid w:val="005368B0"/>
    <w:rsid w:val="00536F93"/>
    <w:rsid w:val="00537B6E"/>
    <w:rsid w:val="0054269D"/>
    <w:rsid w:val="0054506B"/>
    <w:rsid w:val="005571CA"/>
    <w:rsid w:val="00564B48"/>
    <w:rsid w:val="005659FC"/>
    <w:rsid w:val="00594CDB"/>
    <w:rsid w:val="005975C3"/>
    <w:rsid w:val="005B3504"/>
    <w:rsid w:val="005C42C8"/>
    <w:rsid w:val="005D05CB"/>
    <w:rsid w:val="005D4D06"/>
    <w:rsid w:val="005D78AB"/>
    <w:rsid w:val="005E1FC9"/>
    <w:rsid w:val="005E55F3"/>
    <w:rsid w:val="005E773F"/>
    <w:rsid w:val="005E7D09"/>
    <w:rsid w:val="005F0FED"/>
    <w:rsid w:val="005F1898"/>
    <w:rsid w:val="005F7BFF"/>
    <w:rsid w:val="006029DB"/>
    <w:rsid w:val="006218CE"/>
    <w:rsid w:val="0062505B"/>
    <w:rsid w:val="00625F29"/>
    <w:rsid w:val="00626827"/>
    <w:rsid w:val="006334DD"/>
    <w:rsid w:val="0064150B"/>
    <w:rsid w:val="00642600"/>
    <w:rsid w:val="00650294"/>
    <w:rsid w:val="00654A98"/>
    <w:rsid w:val="00660700"/>
    <w:rsid w:val="00670B9D"/>
    <w:rsid w:val="0067409A"/>
    <w:rsid w:val="00675103"/>
    <w:rsid w:val="006752DE"/>
    <w:rsid w:val="00682345"/>
    <w:rsid w:val="00685EBA"/>
    <w:rsid w:val="00686A24"/>
    <w:rsid w:val="0068772B"/>
    <w:rsid w:val="00693A7A"/>
    <w:rsid w:val="006A0010"/>
    <w:rsid w:val="006A4620"/>
    <w:rsid w:val="006A5CFF"/>
    <w:rsid w:val="006A6503"/>
    <w:rsid w:val="006A6E07"/>
    <w:rsid w:val="006B2963"/>
    <w:rsid w:val="006C36DB"/>
    <w:rsid w:val="006C6F8B"/>
    <w:rsid w:val="006E2CBD"/>
    <w:rsid w:val="006E5E42"/>
    <w:rsid w:val="006E629D"/>
    <w:rsid w:val="006F10B9"/>
    <w:rsid w:val="006F7EF8"/>
    <w:rsid w:val="00704B7F"/>
    <w:rsid w:val="007059A0"/>
    <w:rsid w:val="00706508"/>
    <w:rsid w:val="00706854"/>
    <w:rsid w:val="00706CCF"/>
    <w:rsid w:val="007175FE"/>
    <w:rsid w:val="00723997"/>
    <w:rsid w:val="007316A1"/>
    <w:rsid w:val="00735EBB"/>
    <w:rsid w:val="00743016"/>
    <w:rsid w:val="00747AD4"/>
    <w:rsid w:val="00751282"/>
    <w:rsid w:val="007524D1"/>
    <w:rsid w:val="00753810"/>
    <w:rsid w:val="00756555"/>
    <w:rsid w:val="00762E0E"/>
    <w:rsid w:val="00765156"/>
    <w:rsid w:val="00765469"/>
    <w:rsid w:val="00770202"/>
    <w:rsid w:val="00777121"/>
    <w:rsid w:val="00795C8C"/>
    <w:rsid w:val="007A1F45"/>
    <w:rsid w:val="007A2FC2"/>
    <w:rsid w:val="007B0285"/>
    <w:rsid w:val="007B0ABE"/>
    <w:rsid w:val="007C653D"/>
    <w:rsid w:val="007D2360"/>
    <w:rsid w:val="007D2C31"/>
    <w:rsid w:val="007D3007"/>
    <w:rsid w:val="007D37BE"/>
    <w:rsid w:val="007D59D3"/>
    <w:rsid w:val="007E036C"/>
    <w:rsid w:val="007F5600"/>
    <w:rsid w:val="007F62B1"/>
    <w:rsid w:val="008179B8"/>
    <w:rsid w:val="00825609"/>
    <w:rsid w:val="00825E04"/>
    <w:rsid w:val="0083268A"/>
    <w:rsid w:val="0083582D"/>
    <w:rsid w:val="00841531"/>
    <w:rsid w:val="00844878"/>
    <w:rsid w:val="00847E14"/>
    <w:rsid w:val="0085059A"/>
    <w:rsid w:val="00875906"/>
    <w:rsid w:val="0087658A"/>
    <w:rsid w:val="00876D2F"/>
    <w:rsid w:val="008813FB"/>
    <w:rsid w:val="00890BCD"/>
    <w:rsid w:val="00892546"/>
    <w:rsid w:val="00893EDB"/>
    <w:rsid w:val="008941C0"/>
    <w:rsid w:val="00896AAB"/>
    <w:rsid w:val="00897465"/>
    <w:rsid w:val="008A0AE7"/>
    <w:rsid w:val="008A25D7"/>
    <w:rsid w:val="008A73E8"/>
    <w:rsid w:val="008B0146"/>
    <w:rsid w:val="008B5E62"/>
    <w:rsid w:val="008C5216"/>
    <w:rsid w:val="008D667F"/>
    <w:rsid w:val="008E283B"/>
    <w:rsid w:val="00912039"/>
    <w:rsid w:val="00921979"/>
    <w:rsid w:val="00924587"/>
    <w:rsid w:val="0093580E"/>
    <w:rsid w:val="0096053F"/>
    <w:rsid w:val="00960D12"/>
    <w:rsid w:val="00962979"/>
    <w:rsid w:val="00974865"/>
    <w:rsid w:val="009758B7"/>
    <w:rsid w:val="00977667"/>
    <w:rsid w:val="0098187E"/>
    <w:rsid w:val="00985968"/>
    <w:rsid w:val="00991C30"/>
    <w:rsid w:val="009A1EEC"/>
    <w:rsid w:val="009C1C11"/>
    <w:rsid w:val="009C4342"/>
    <w:rsid w:val="009C626D"/>
    <w:rsid w:val="009D1DE6"/>
    <w:rsid w:val="009D5AF0"/>
    <w:rsid w:val="009D6301"/>
    <w:rsid w:val="009F2C75"/>
    <w:rsid w:val="009F6E67"/>
    <w:rsid w:val="00A029E2"/>
    <w:rsid w:val="00A0363D"/>
    <w:rsid w:val="00A03AC8"/>
    <w:rsid w:val="00A113A2"/>
    <w:rsid w:val="00A1348D"/>
    <w:rsid w:val="00A20B4E"/>
    <w:rsid w:val="00A31998"/>
    <w:rsid w:val="00A338FA"/>
    <w:rsid w:val="00A36DAF"/>
    <w:rsid w:val="00A4193D"/>
    <w:rsid w:val="00A43FD5"/>
    <w:rsid w:val="00A44FEE"/>
    <w:rsid w:val="00A476AF"/>
    <w:rsid w:val="00A47D4D"/>
    <w:rsid w:val="00A52C80"/>
    <w:rsid w:val="00A56C94"/>
    <w:rsid w:val="00A672FE"/>
    <w:rsid w:val="00A70502"/>
    <w:rsid w:val="00A77C29"/>
    <w:rsid w:val="00A820C9"/>
    <w:rsid w:val="00A82958"/>
    <w:rsid w:val="00A84C95"/>
    <w:rsid w:val="00A91808"/>
    <w:rsid w:val="00A91840"/>
    <w:rsid w:val="00A959D8"/>
    <w:rsid w:val="00AA1C12"/>
    <w:rsid w:val="00AA6C4D"/>
    <w:rsid w:val="00AB25CC"/>
    <w:rsid w:val="00AB283B"/>
    <w:rsid w:val="00AB3413"/>
    <w:rsid w:val="00AC29B7"/>
    <w:rsid w:val="00AD1351"/>
    <w:rsid w:val="00AE044D"/>
    <w:rsid w:val="00AE095E"/>
    <w:rsid w:val="00AE50DE"/>
    <w:rsid w:val="00AE6105"/>
    <w:rsid w:val="00AF0ACA"/>
    <w:rsid w:val="00AF182B"/>
    <w:rsid w:val="00B01EBE"/>
    <w:rsid w:val="00B06985"/>
    <w:rsid w:val="00B079C0"/>
    <w:rsid w:val="00B1424F"/>
    <w:rsid w:val="00B26CD6"/>
    <w:rsid w:val="00B30A02"/>
    <w:rsid w:val="00B3580B"/>
    <w:rsid w:val="00B40E8D"/>
    <w:rsid w:val="00B5030C"/>
    <w:rsid w:val="00B51884"/>
    <w:rsid w:val="00B53866"/>
    <w:rsid w:val="00B8252F"/>
    <w:rsid w:val="00BA18D8"/>
    <w:rsid w:val="00BA419A"/>
    <w:rsid w:val="00BA5959"/>
    <w:rsid w:val="00BB3DCB"/>
    <w:rsid w:val="00BC7C01"/>
    <w:rsid w:val="00BD29ED"/>
    <w:rsid w:val="00BD4342"/>
    <w:rsid w:val="00BD573B"/>
    <w:rsid w:val="00BD5F36"/>
    <w:rsid w:val="00BE6D6A"/>
    <w:rsid w:val="00BF25E8"/>
    <w:rsid w:val="00BF60D8"/>
    <w:rsid w:val="00C01447"/>
    <w:rsid w:val="00C0633F"/>
    <w:rsid w:val="00C130B0"/>
    <w:rsid w:val="00C142FA"/>
    <w:rsid w:val="00C20BA0"/>
    <w:rsid w:val="00C240BB"/>
    <w:rsid w:val="00C26AC3"/>
    <w:rsid w:val="00C27CC1"/>
    <w:rsid w:val="00C32546"/>
    <w:rsid w:val="00C3267A"/>
    <w:rsid w:val="00C41C29"/>
    <w:rsid w:val="00C43A8E"/>
    <w:rsid w:val="00C4459F"/>
    <w:rsid w:val="00C525AB"/>
    <w:rsid w:val="00C52B0C"/>
    <w:rsid w:val="00C56BCF"/>
    <w:rsid w:val="00C60CA6"/>
    <w:rsid w:val="00C66631"/>
    <w:rsid w:val="00C66FA2"/>
    <w:rsid w:val="00C71A68"/>
    <w:rsid w:val="00C817AE"/>
    <w:rsid w:val="00C84C61"/>
    <w:rsid w:val="00C965AB"/>
    <w:rsid w:val="00C97ADA"/>
    <w:rsid w:val="00CA0A54"/>
    <w:rsid w:val="00CA1AC2"/>
    <w:rsid w:val="00CA4759"/>
    <w:rsid w:val="00CA6139"/>
    <w:rsid w:val="00CB5664"/>
    <w:rsid w:val="00CD0A33"/>
    <w:rsid w:val="00CE563D"/>
    <w:rsid w:val="00CF0D5A"/>
    <w:rsid w:val="00D052DA"/>
    <w:rsid w:val="00D06272"/>
    <w:rsid w:val="00D06275"/>
    <w:rsid w:val="00D24100"/>
    <w:rsid w:val="00D2665F"/>
    <w:rsid w:val="00D26D52"/>
    <w:rsid w:val="00D31C97"/>
    <w:rsid w:val="00D35353"/>
    <w:rsid w:val="00D40367"/>
    <w:rsid w:val="00D42A8F"/>
    <w:rsid w:val="00D46748"/>
    <w:rsid w:val="00D51FB0"/>
    <w:rsid w:val="00D523D9"/>
    <w:rsid w:val="00D537CB"/>
    <w:rsid w:val="00D618DB"/>
    <w:rsid w:val="00D6751F"/>
    <w:rsid w:val="00D67ED8"/>
    <w:rsid w:val="00D735B0"/>
    <w:rsid w:val="00D74E16"/>
    <w:rsid w:val="00D76CA5"/>
    <w:rsid w:val="00D80F75"/>
    <w:rsid w:val="00D83CFB"/>
    <w:rsid w:val="00D85079"/>
    <w:rsid w:val="00D85BC7"/>
    <w:rsid w:val="00D86622"/>
    <w:rsid w:val="00D86A25"/>
    <w:rsid w:val="00D937A2"/>
    <w:rsid w:val="00D95473"/>
    <w:rsid w:val="00D95D14"/>
    <w:rsid w:val="00D97108"/>
    <w:rsid w:val="00DA21DC"/>
    <w:rsid w:val="00DB568E"/>
    <w:rsid w:val="00DC0C74"/>
    <w:rsid w:val="00DD199E"/>
    <w:rsid w:val="00DD383A"/>
    <w:rsid w:val="00DD4D75"/>
    <w:rsid w:val="00DD5B60"/>
    <w:rsid w:val="00DE0C01"/>
    <w:rsid w:val="00DE2637"/>
    <w:rsid w:val="00DF543D"/>
    <w:rsid w:val="00E04731"/>
    <w:rsid w:val="00E17061"/>
    <w:rsid w:val="00E238FA"/>
    <w:rsid w:val="00E23F2B"/>
    <w:rsid w:val="00E26A53"/>
    <w:rsid w:val="00E31CBB"/>
    <w:rsid w:val="00E34E1C"/>
    <w:rsid w:val="00E45E26"/>
    <w:rsid w:val="00E563BA"/>
    <w:rsid w:val="00E61FA4"/>
    <w:rsid w:val="00E62874"/>
    <w:rsid w:val="00E64618"/>
    <w:rsid w:val="00E6564C"/>
    <w:rsid w:val="00E80A47"/>
    <w:rsid w:val="00E82812"/>
    <w:rsid w:val="00E84CE2"/>
    <w:rsid w:val="00E84FF3"/>
    <w:rsid w:val="00E87F41"/>
    <w:rsid w:val="00E9421D"/>
    <w:rsid w:val="00E972EE"/>
    <w:rsid w:val="00E973A4"/>
    <w:rsid w:val="00EA791A"/>
    <w:rsid w:val="00EB3162"/>
    <w:rsid w:val="00EB367A"/>
    <w:rsid w:val="00EB7966"/>
    <w:rsid w:val="00EC2DCA"/>
    <w:rsid w:val="00ED1633"/>
    <w:rsid w:val="00ED4A5E"/>
    <w:rsid w:val="00ED63B0"/>
    <w:rsid w:val="00EE62C3"/>
    <w:rsid w:val="00F007FD"/>
    <w:rsid w:val="00F02854"/>
    <w:rsid w:val="00F06058"/>
    <w:rsid w:val="00F07BC3"/>
    <w:rsid w:val="00F07D4A"/>
    <w:rsid w:val="00F157BA"/>
    <w:rsid w:val="00F15A41"/>
    <w:rsid w:val="00F17C5D"/>
    <w:rsid w:val="00F25B24"/>
    <w:rsid w:val="00F25D47"/>
    <w:rsid w:val="00F35953"/>
    <w:rsid w:val="00F369FB"/>
    <w:rsid w:val="00F41863"/>
    <w:rsid w:val="00F42EA1"/>
    <w:rsid w:val="00F46E4E"/>
    <w:rsid w:val="00F51D9E"/>
    <w:rsid w:val="00F56289"/>
    <w:rsid w:val="00F655B5"/>
    <w:rsid w:val="00F666C0"/>
    <w:rsid w:val="00F7353C"/>
    <w:rsid w:val="00F73A2A"/>
    <w:rsid w:val="00F83A40"/>
    <w:rsid w:val="00F86C3D"/>
    <w:rsid w:val="00F874AA"/>
    <w:rsid w:val="00F90F7C"/>
    <w:rsid w:val="00F96078"/>
    <w:rsid w:val="00F96B56"/>
    <w:rsid w:val="00FA1BB1"/>
    <w:rsid w:val="00FA55FD"/>
    <w:rsid w:val="00FB095B"/>
    <w:rsid w:val="00FB1DB9"/>
    <w:rsid w:val="00FB2DE0"/>
    <w:rsid w:val="00FB3BDC"/>
    <w:rsid w:val="00FB6942"/>
    <w:rsid w:val="00FB7164"/>
    <w:rsid w:val="00FD7BE2"/>
    <w:rsid w:val="00FE2826"/>
    <w:rsid w:val="00FF0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1F12"/>
  <w15:chartTrackingRefBased/>
  <w15:docId w15:val="{C8A732F3-4C42-4A42-80A3-7FE0FBF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3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6B"/>
    <w:rPr>
      <w:rFonts w:eastAsiaTheme="majorEastAsia" w:cstheme="majorBidi"/>
      <w:color w:val="272727" w:themeColor="text1" w:themeTint="D8"/>
    </w:rPr>
  </w:style>
  <w:style w:type="paragraph" w:styleId="Title">
    <w:name w:val="Title"/>
    <w:basedOn w:val="Normal"/>
    <w:next w:val="Normal"/>
    <w:link w:val="TitleChar"/>
    <w:uiPriority w:val="10"/>
    <w:qFormat/>
    <w:rsid w:val="00133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6B"/>
    <w:pPr>
      <w:spacing w:before="160"/>
      <w:jc w:val="center"/>
    </w:pPr>
    <w:rPr>
      <w:i/>
      <w:iCs/>
      <w:color w:val="404040" w:themeColor="text1" w:themeTint="BF"/>
    </w:rPr>
  </w:style>
  <w:style w:type="character" w:customStyle="1" w:styleId="QuoteChar">
    <w:name w:val="Quote Char"/>
    <w:basedOn w:val="DefaultParagraphFont"/>
    <w:link w:val="Quote"/>
    <w:uiPriority w:val="29"/>
    <w:rsid w:val="00133A6B"/>
    <w:rPr>
      <w:i/>
      <w:iCs/>
      <w:color w:val="404040" w:themeColor="text1" w:themeTint="BF"/>
    </w:rPr>
  </w:style>
  <w:style w:type="paragraph" w:styleId="ListParagraph">
    <w:name w:val="List Paragraph"/>
    <w:basedOn w:val="Normal"/>
    <w:uiPriority w:val="34"/>
    <w:qFormat/>
    <w:rsid w:val="00133A6B"/>
    <w:pPr>
      <w:ind w:left="720"/>
      <w:contextualSpacing/>
    </w:pPr>
  </w:style>
  <w:style w:type="character" w:styleId="IntenseEmphasis">
    <w:name w:val="Intense Emphasis"/>
    <w:basedOn w:val="DefaultParagraphFont"/>
    <w:uiPriority w:val="21"/>
    <w:qFormat/>
    <w:rsid w:val="00133A6B"/>
    <w:rPr>
      <w:i/>
      <w:iCs/>
      <w:color w:val="0F4761" w:themeColor="accent1" w:themeShade="BF"/>
    </w:rPr>
  </w:style>
  <w:style w:type="paragraph" w:styleId="IntenseQuote">
    <w:name w:val="Intense Quote"/>
    <w:basedOn w:val="Normal"/>
    <w:next w:val="Normal"/>
    <w:link w:val="IntenseQuoteChar"/>
    <w:uiPriority w:val="30"/>
    <w:qFormat/>
    <w:rsid w:val="0013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6B"/>
    <w:rPr>
      <w:i/>
      <w:iCs/>
      <w:color w:val="0F4761" w:themeColor="accent1" w:themeShade="BF"/>
    </w:rPr>
  </w:style>
  <w:style w:type="character" w:styleId="IntenseReference">
    <w:name w:val="Intense Reference"/>
    <w:basedOn w:val="DefaultParagraphFont"/>
    <w:uiPriority w:val="32"/>
    <w:qFormat/>
    <w:rsid w:val="00133A6B"/>
    <w:rPr>
      <w:b/>
      <w:bCs/>
      <w:smallCaps/>
      <w:color w:val="0F4761" w:themeColor="accent1" w:themeShade="BF"/>
      <w:spacing w:val="5"/>
    </w:rPr>
  </w:style>
  <w:style w:type="paragraph" w:styleId="NormalWeb">
    <w:name w:val="Normal (Web)"/>
    <w:basedOn w:val="Normal"/>
    <w:uiPriority w:val="99"/>
    <w:unhideWhenUsed/>
    <w:rsid w:val="00133A6B"/>
    <w:pPr>
      <w:spacing w:before="100" w:beforeAutospacing="1" w:after="100" w:afterAutospacing="1"/>
    </w:pPr>
  </w:style>
  <w:style w:type="paragraph" w:styleId="NoSpacing">
    <w:name w:val="No Spacing"/>
    <w:uiPriority w:val="1"/>
    <w:qFormat/>
    <w:rsid w:val="00133A6B"/>
    <w:pPr>
      <w:spacing w:after="0" w:line="240" w:lineRule="auto"/>
    </w:pPr>
  </w:style>
  <w:style w:type="character" w:styleId="Hyperlink">
    <w:name w:val="Hyperlink"/>
    <w:basedOn w:val="DefaultParagraphFont"/>
    <w:uiPriority w:val="99"/>
    <w:unhideWhenUsed/>
    <w:rsid w:val="00D86A25"/>
    <w:rPr>
      <w:color w:val="467886" w:themeColor="hyperlink"/>
      <w:u w:val="single"/>
    </w:rPr>
  </w:style>
  <w:style w:type="character" w:styleId="UnresolvedMention">
    <w:name w:val="Unresolved Mention"/>
    <w:basedOn w:val="DefaultParagraphFont"/>
    <w:uiPriority w:val="99"/>
    <w:semiHidden/>
    <w:unhideWhenUsed/>
    <w:rsid w:val="00D86A25"/>
    <w:rPr>
      <w:color w:val="605E5C"/>
      <w:shd w:val="clear" w:color="auto" w:fill="E1DFDD"/>
    </w:rPr>
  </w:style>
  <w:style w:type="paragraph" w:styleId="Header">
    <w:name w:val="header"/>
    <w:basedOn w:val="Normal"/>
    <w:link w:val="HeaderChar"/>
    <w:uiPriority w:val="99"/>
    <w:unhideWhenUsed/>
    <w:rsid w:val="00C142FA"/>
    <w:pPr>
      <w:tabs>
        <w:tab w:val="center" w:pos="4513"/>
        <w:tab w:val="right" w:pos="9026"/>
      </w:tabs>
    </w:pPr>
  </w:style>
  <w:style w:type="character" w:customStyle="1" w:styleId="HeaderChar">
    <w:name w:val="Header Char"/>
    <w:basedOn w:val="DefaultParagraphFont"/>
    <w:link w:val="Header"/>
    <w:uiPriority w:val="99"/>
    <w:rsid w:val="00C142FA"/>
  </w:style>
  <w:style w:type="paragraph" w:styleId="Footer">
    <w:name w:val="footer"/>
    <w:basedOn w:val="Normal"/>
    <w:link w:val="FooterChar"/>
    <w:uiPriority w:val="99"/>
    <w:unhideWhenUsed/>
    <w:rsid w:val="00C142FA"/>
    <w:pPr>
      <w:tabs>
        <w:tab w:val="center" w:pos="4513"/>
        <w:tab w:val="right" w:pos="9026"/>
      </w:tabs>
    </w:pPr>
  </w:style>
  <w:style w:type="character" w:customStyle="1" w:styleId="FooterChar">
    <w:name w:val="Footer Char"/>
    <w:basedOn w:val="DefaultParagraphFont"/>
    <w:link w:val="Footer"/>
    <w:uiPriority w:val="99"/>
    <w:rsid w:val="00C142FA"/>
  </w:style>
  <w:style w:type="table" w:styleId="TableGrid">
    <w:name w:val="Table Grid"/>
    <w:basedOn w:val="TableNormal"/>
    <w:uiPriority w:val="39"/>
    <w:rsid w:val="004E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563BA"/>
    <w:pPr>
      <w:spacing w:before="100" w:beforeAutospacing="1" w:after="100" w:afterAutospacing="1"/>
    </w:pPr>
  </w:style>
  <w:style w:type="character" w:customStyle="1" w:styleId="BodyTextChar">
    <w:name w:val="Body Text Char"/>
    <w:basedOn w:val="DefaultParagraphFont"/>
    <w:link w:val="BodyText"/>
    <w:uiPriority w:val="99"/>
    <w:rsid w:val="00E563BA"/>
    <w:rPr>
      <w:rFonts w:ascii="Times New Roman" w:eastAsia="Times New Roman" w:hAnsi="Times New Roman" w:cs="Times New Roman"/>
      <w:kern w:val="0"/>
      <w:lang w:eastAsia="en-GB"/>
      <w14:ligatures w14:val="none"/>
    </w:rPr>
  </w:style>
  <w:style w:type="paragraph" w:customStyle="1" w:styleId="FirstParagraph">
    <w:name w:val="First Paragraph"/>
    <w:basedOn w:val="BodyText"/>
    <w:next w:val="BodyText"/>
    <w:qFormat/>
    <w:rsid w:val="003242E8"/>
    <w:pPr>
      <w:spacing w:before="180" w:beforeAutospacing="0" w:after="180" w:afterAutospacing="0"/>
    </w:pPr>
    <w:rPr>
      <w:rFonts w:asciiTheme="minorHAnsi" w:eastAsiaTheme="minorHAnsi" w:hAnsiTheme="minorHAnsi" w:cstheme="minorBidi"/>
      <w:lang w:val="en" w:eastAsia="en-US"/>
    </w:rPr>
  </w:style>
  <w:style w:type="character" w:styleId="FollowedHyperlink">
    <w:name w:val="FollowedHyperlink"/>
    <w:basedOn w:val="DefaultParagraphFont"/>
    <w:uiPriority w:val="99"/>
    <w:semiHidden/>
    <w:unhideWhenUsed/>
    <w:rsid w:val="00DE0C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99054">
      <w:bodyDiv w:val="1"/>
      <w:marLeft w:val="0"/>
      <w:marRight w:val="0"/>
      <w:marTop w:val="0"/>
      <w:marBottom w:val="0"/>
      <w:divBdr>
        <w:top w:val="none" w:sz="0" w:space="0" w:color="auto"/>
        <w:left w:val="none" w:sz="0" w:space="0" w:color="auto"/>
        <w:bottom w:val="none" w:sz="0" w:space="0" w:color="auto"/>
        <w:right w:val="none" w:sz="0" w:space="0" w:color="auto"/>
      </w:divBdr>
    </w:div>
    <w:div w:id="1491291249">
      <w:bodyDiv w:val="1"/>
      <w:marLeft w:val="0"/>
      <w:marRight w:val="0"/>
      <w:marTop w:val="0"/>
      <w:marBottom w:val="0"/>
      <w:divBdr>
        <w:top w:val="none" w:sz="0" w:space="0" w:color="auto"/>
        <w:left w:val="none" w:sz="0" w:space="0" w:color="auto"/>
        <w:bottom w:val="none" w:sz="0" w:space="0" w:color="auto"/>
        <w:right w:val="none" w:sz="0" w:space="0" w:color="auto"/>
      </w:divBdr>
    </w:div>
    <w:div w:id="1725715548">
      <w:bodyDiv w:val="1"/>
      <w:marLeft w:val="0"/>
      <w:marRight w:val="0"/>
      <w:marTop w:val="0"/>
      <w:marBottom w:val="0"/>
      <w:divBdr>
        <w:top w:val="none" w:sz="0" w:space="0" w:color="auto"/>
        <w:left w:val="none" w:sz="0" w:space="0" w:color="auto"/>
        <w:bottom w:val="none" w:sz="0" w:space="0" w:color="auto"/>
        <w:right w:val="none" w:sz="0" w:space="0" w:color="auto"/>
      </w:divBdr>
    </w:div>
    <w:div w:id="1750809272">
      <w:bodyDiv w:val="1"/>
      <w:marLeft w:val="0"/>
      <w:marRight w:val="0"/>
      <w:marTop w:val="0"/>
      <w:marBottom w:val="0"/>
      <w:divBdr>
        <w:top w:val="none" w:sz="0" w:space="0" w:color="auto"/>
        <w:left w:val="none" w:sz="0" w:space="0" w:color="auto"/>
        <w:bottom w:val="none" w:sz="0" w:space="0" w:color="auto"/>
        <w:right w:val="none" w:sz="0" w:space="0" w:color="auto"/>
      </w:divBdr>
    </w:div>
    <w:div w:id="17533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F8E1-39F4-40DB-AD2F-4E54422F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3558</TotalTime>
  <Pages>6</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Mrozinski, Babs</cp:lastModifiedBy>
  <cp:revision>79</cp:revision>
  <cp:lastPrinted>2025-02-06T16:18:00Z</cp:lastPrinted>
  <dcterms:created xsi:type="dcterms:W3CDTF">2025-12-13T16:53:00Z</dcterms:created>
  <dcterms:modified xsi:type="dcterms:W3CDTF">2025-12-17T16:34:00Z</dcterms:modified>
</cp:coreProperties>
</file>